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B61" w:rsidRDefault="00586B61" w:rsidP="002E17D1">
      <w:pPr>
        <w:ind w:right="-1667"/>
      </w:pPr>
      <w:bookmarkStart w:id="0" w:name="_GoBack"/>
      <w:bookmarkEnd w:id="0"/>
    </w:p>
    <w:p w:rsidR="00586B61" w:rsidRDefault="00586B61" w:rsidP="002E17D1">
      <w:pPr>
        <w:ind w:right="-1667"/>
      </w:pPr>
    </w:p>
    <w:p w:rsidR="002E17D1" w:rsidRDefault="002E17D1" w:rsidP="002E17D1">
      <w:pPr>
        <w:ind w:right="-1667"/>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89" type="#_x0000_t75" alt="MGSE_POS_combo-strap 8.11.09 10cm.pdf" style="position:absolute;left:0;text-align:left;margin-left:-49.8pt;margin-top:-71.8pt;width:321.2pt;height:108pt;z-index:251662848;visibility:visible;mso-wrap-edited:f" wrapcoords="1160 3600 1110 16050 4491 17550 5299 17550 7115 17550 9689 17550 20439 16050 20388 3600 1160 3600">
            <v:imagedata r:id="rId8" o:title="MGSE_POS_combo-strap 8"/>
            <w10:wrap type="tight"/>
          </v:shape>
        </w:pict>
      </w:r>
      <w:r>
        <w:t>T</w:t>
      </w:r>
    </w:p>
    <w:p w:rsidR="002E17D1" w:rsidRPr="008C7FE5" w:rsidRDefault="002E17D1" w:rsidP="002E17D1">
      <w:pPr>
        <w:pStyle w:val="Heading1"/>
        <w:rPr>
          <w:noProof/>
        </w:rPr>
      </w:pPr>
      <w:r>
        <w:rPr>
          <w:noProof/>
          <w:lang w:val="en-US"/>
        </w:rPr>
        <w:pict>
          <v:shapetype id="_x0000_t202" coordsize="21600,21600" o:spt="202" path="m,l,21600r21600,l21600,xe">
            <v:stroke joinstyle="miter"/>
            <v:path gradientshapeok="t" o:connecttype="rect"/>
          </v:shapetype>
          <v:shape id="_x0000_s1026" type="#_x0000_t202" style="position:absolute;left:0;text-align:left;margin-left:238.2pt;margin-top:271pt;width:252pt;height:422pt;z-index:251652608;mso-wrap-edited:f" wrapcoords="0 0 21600 0 21600 21600 0 21600 0 0" filled="f" stroked="f">
            <v:fill o:detectmouseclick="t"/>
            <v:textbox style="mso-next-textbox:#_x0000_s1026" inset=",7.2pt,,7.2pt">
              <w:txbxContent>
                <w:p w:rsidR="00C745B4" w:rsidRDefault="00C745B4" w:rsidP="002E17D1">
                  <w:pPr>
                    <w:widowControl w:val="0"/>
                    <w:autoSpaceDE w:val="0"/>
                    <w:autoSpaceDN w:val="0"/>
                    <w:adjustRightInd w:val="0"/>
                    <w:spacing w:after="0"/>
                    <w:jc w:val="left"/>
                    <w:rPr>
                      <w:rFonts w:ascii="Arial-BoldMT" w:hAnsi="Arial-BoldMT" w:cs="Arial-BoldMT"/>
                      <w:b/>
                      <w:bCs/>
                      <w:color w:val="5D7AA4"/>
                      <w:sz w:val="44"/>
                      <w:szCs w:val="32"/>
                      <w:lang w:val="en-US"/>
                    </w:rPr>
                  </w:pPr>
                  <w:r w:rsidRPr="00474AEF">
                    <w:rPr>
                      <w:rFonts w:ascii="Arial-BoldMT" w:hAnsi="Arial-BoldMT" w:cs="Arial-BoldMT"/>
                      <w:b/>
                      <w:bCs/>
                      <w:color w:val="5D7AA4"/>
                      <w:sz w:val="44"/>
                      <w:szCs w:val="32"/>
                      <w:lang w:val="en-US"/>
                    </w:rPr>
                    <w:t xml:space="preserve">Victorian Early </w:t>
                  </w:r>
                </w:p>
                <w:p w:rsidR="00C745B4" w:rsidRPr="00474AEF" w:rsidRDefault="00C745B4" w:rsidP="002E17D1">
                  <w:pPr>
                    <w:widowControl w:val="0"/>
                    <w:autoSpaceDE w:val="0"/>
                    <w:autoSpaceDN w:val="0"/>
                    <w:adjustRightInd w:val="0"/>
                    <w:spacing w:after="0"/>
                    <w:jc w:val="left"/>
                    <w:rPr>
                      <w:rFonts w:ascii="Arial-BoldMT" w:hAnsi="Arial-BoldMT" w:cs="Arial-BoldMT"/>
                      <w:b/>
                      <w:bCs/>
                      <w:color w:val="5D7AA4"/>
                      <w:sz w:val="44"/>
                      <w:szCs w:val="32"/>
                      <w:lang w:val="en-US"/>
                    </w:rPr>
                  </w:pPr>
                  <w:r w:rsidRPr="00474AEF">
                    <w:rPr>
                      <w:rFonts w:ascii="Arial-BoldMT" w:hAnsi="Arial-BoldMT" w:cs="Arial-BoldMT"/>
                      <w:b/>
                      <w:bCs/>
                      <w:color w:val="5D7AA4"/>
                      <w:sz w:val="44"/>
                      <w:szCs w:val="32"/>
                      <w:lang w:val="en-US"/>
                    </w:rPr>
                    <w:t>Years Learning</w:t>
                  </w:r>
                </w:p>
                <w:p w:rsidR="00C745B4" w:rsidRPr="00474AEF" w:rsidRDefault="00C745B4" w:rsidP="002E17D1">
                  <w:pPr>
                    <w:widowControl w:val="0"/>
                    <w:autoSpaceDE w:val="0"/>
                    <w:autoSpaceDN w:val="0"/>
                    <w:adjustRightInd w:val="0"/>
                    <w:spacing w:after="0"/>
                    <w:jc w:val="left"/>
                    <w:rPr>
                      <w:rFonts w:ascii="Arial-BoldMT" w:hAnsi="Arial-BoldMT" w:cs="Arial-BoldMT"/>
                      <w:b/>
                      <w:bCs/>
                      <w:color w:val="5D7AA4"/>
                      <w:sz w:val="44"/>
                      <w:szCs w:val="32"/>
                      <w:lang w:val="en-US"/>
                    </w:rPr>
                  </w:pPr>
                  <w:r w:rsidRPr="00474AEF">
                    <w:rPr>
                      <w:rFonts w:ascii="Arial-BoldMT" w:hAnsi="Arial-BoldMT" w:cs="Arial-BoldMT"/>
                      <w:b/>
                      <w:bCs/>
                      <w:color w:val="5D7AA4"/>
                      <w:sz w:val="44"/>
                      <w:szCs w:val="32"/>
                      <w:lang w:val="en-US"/>
                    </w:rPr>
                    <w:t>and Development Framework</w:t>
                  </w:r>
                </w:p>
                <w:p w:rsidR="00C745B4" w:rsidRDefault="00C745B4" w:rsidP="002E17D1">
                  <w:pPr>
                    <w:widowControl w:val="0"/>
                    <w:autoSpaceDE w:val="0"/>
                    <w:autoSpaceDN w:val="0"/>
                    <w:adjustRightInd w:val="0"/>
                    <w:rPr>
                      <w:rFonts w:ascii="Arial-BoldMT" w:hAnsi="Arial-BoldMT" w:cs="Arial-BoldMT"/>
                      <w:b/>
                      <w:bCs/>
                      <w:color w:val="5D7AA4"/>
                      <w:sz w:val="44"/>
                      <w:szCs w:val="44"/>
                      <w:lang w:val="en-US"/>
                    </w:rPr>
                  </w:pPr>
                </w:p>
                <w:p w:rsidR="00C745B4" w:rsidRPr="00BB3C1E" w:rsidRDefault="00C745B4" w:rsidP="002E17D1">
                  <w:pPr>
                    <w:widowControl w:val="0"/>
                    <w:autoSpaceDE w:val="0"/>
                    <w:autoSpaceDN w:val="0"/>
                    <w:adjustRightInd w:val="0"/>
                    <w:rPr>
                      <w:rFonts w:ascii="Arial-BoldMT" w:hAnsi="Arial-BoldMT" w:cs="Arial-BoldMT"/>
                      <w:b/>
                      <w:bCs/>
                      <w:color w:val="5D7AA4"/>
                      <w:sz w:val="44"/>
                      <w:szCs w:val="44"/>
                      <w:lang w:val="en-US"/>
                    </w:rPr>
                  </w:pPr>
                  <w:r w:rsidRPr="00474AEF">
                    <w:rPr>
                      <w:rFonts w:ascii="Arial-BoldMT" w:hAnsi="Arial-BoldMT" w:cs="Arial-BoldMT"/>
                      <w:b/>
                      <w:bCs/>
                      <w:color w:val="5D7AA4"/>
                      <w:sz w:val="44"/>
                      <w:szCs w:val="44"/>
                      <w:lang w:val="en-US"/>
                    </w:rPr>
                    <w:t>Eviden</w:t>
                  </w:r>
                  <w:r>
                    <w:rPr>
                      <w:rFonts w:ascii="Arial-BoldMT" w:hAnsi="Arial-BoldMT" w:cs="Arial-BoldMT"/>
                      <w:b/>
                      <w:bCs/>
                      <w:color w:val="5D7AA4"/>
                      <w:sz w:val="44"/>
                      <w:szCs w:val="44"/>
                      <w:lang w:val="en-US"/>
                    </w:rPr>
                    <w:t xml:space="preserve">ce Paper </w:t>
                  </w:r>
                </w:p>
                <w:p w:rsidR="00C745B4" w:rsidRDefault="00C745B4" w:rsidP="002E17D1">
                  <w:pPr>
                    <w:widowControl w:val="0"/>
                    <w:autoSpaceDE w:val="0"/>
                    <w:autoSpaceDN w:val="0"/>
                    <w:adjustRightInd w:val="0"/>
                    <w:spacing w:after="0"/>
                    <w:jc w:val="left"/>
                    <w:rPr>
                      <w:rFonts w:ascii="Arial-BoldMT" w:hAnsi="Arial-BoldMT" w:cs="Arial-BoldMT"/>
                      <w:color w:val="000000"/>
                      <w:sz w:val="48"/>
                      <w:szCs w:val="48"/>
                      <w:lang w:val="en-US"/>
                    </w:rPr>
                  </w:pPr>
                  <w:r>
                    <w:rPr>
                      <w:rFonts w:ascii="Arial-BoldMT" w:hAnsi="Arial-BoldMT" w:cs="Arial-BoldMT"/>
                      <w:color w:val="000000"/>
                      <w:sz w:val="48"/>
                      <w:szCs w:val="48"/>
                      <w:lang w:val="en-US"/>
                    </w:rPr>
                    <w:t>Practice Principle 4:</w:t>
                  </w:r>
                </w:p>
                <w:p w:rsidR="00C745B4" w:rsidRDefault="00C745B4" w:rsidP="002E17D1">
                  <w:pPr>
                    <w:widowControl w:val="0"/>
                    <w:autoSpaceDE w:val="0"/>
                    <w:autoSpaceDN w:val="0"/>
                    <w:adjustRightInd w:val="0"/>
                    <w:spacing w:after="0"/>
                    <w:rPr>
                      <w:rFonts w:ascii="Arial-BoldMT" w:hAnsi="Arial-BoldMT" w:cs="Arial-BoldMT"/>
                      <w:color w:val="000000"/>
                      <w:szCs w:val="48"/>
                      <w:lang w:val="en-US"/>
                    </w:rPr>
                  </w:pPr>
                  <w:r>
                    <w:rPr>
                      <w:rFonts w:ascii="Arial-BoldMT" w:hAnsi="Arial-BoldMT" w:cs="Arial-BoldMT"/>
                      <w:color w:val="000000"/>
                      <w:sz w:val="48"/>
                      <w:szCs w:val="48"/>
                      <w:lang w:val="en-US"/>
                    </w:rPr>
                    <w:t>Equity and Diversity</w:t>
                  </w:r>
                </w:p>
                <w:p w:rsidR="00C745B4" w:rsidRPr="00E925DB" w:rsidRDefault="00C745B4" w:rsidP="002E17D1">
                  <w:pPr>
                    <w:widowControl w:val="0"/>
                    <w:autoSpaceDE w:val="0"/>
                    <w:autoSpaceDN w:val="0"/>
                    <w:adjustRightInd w:val="0"/>
                    <w:spacing w:after="0"/>
                    <w:jc w:val="left"/>
                    <w:rPr>
                      <w:rFonts w:ascii="Arial-BoldMT" w:hAnsi="Arial-BoldMT" w:cs="Arial-BoldMT"/>
                      <w:color w:val="000000"/>
                      <w:szCs w:val="48"/>
                      <w:lang w:val="en-US"/>
                    </w:rPr>
                  </w:pPr>
                  <w:r w:rsidRPr="00E925DB">
                    <w:rPr>
                      <w:rFonts w:ascii="Arial-BoldMT" w:hAnsi="Arial-BoldMT" w:cs="Arial-BoldMT"/>
                      <w:color w:val="000000"/>
                      <w:szCs w:val="48"/>
                      <w:lang w:val="en-US"/>
                    </w:rPr>
                    <w:t xml:space="preserve">Authored for the Department of Education </w:t>
                  </w:r>
                </w:p>
                <w:p w:rsidR="00C745B4" w:rsidRPr="00E925DB" w:rsidRDefault="00C745B4" w:rsidP="002E17D1">
                  <w:pPr>
                    <w:widowControl w:val="0"/>
                    <w:autoSpaceDE w:val="0"/>
                    <w:autoSpaceDN w:val="0"/>
                    <w:adjustRightInd w:val="0"/>
                    <w:spacing w:after="0"/>
                    <w:jc w:val="left"/>
                    <w:rPr>
                      <w:rFonts w:ascii="Arial-BoldMT" w:hAnsi="Arial-BoldMT" w:cs="Arial-BoldMT"/>
                      <w:color w:val="000000"/>
                      <w:szCs w:val="48"/>
                      <w:lang w:val="en-US"/>
                    </w:rPr>
                  </w:pPr>
                  <w:r w:rsidRPr="00E925DB">
                    <w:rPr>
                      <w:rFonts w:ascii="Arial-BoldMT" w:hAnsi="Arial-BoldMT" w:cs="Arial-BoldMT"/>
                      <w:color w:val="000000"/>
                      <w:szCs w:val="48"/>
                      <w:lang w:val="en-US"/>
                    </w:rPr>
                    <w:t xml:space="preserve">and Early Childhood Development </w:t>
                  </w:r>
                </w:p>
                <w:p w:rsidR="00C745B4" w:rsidRPr="00E925DB" w:rsidRDefault="00C745B4" w:rsidP="002E17D1">
                  <w:pPr>
                    <w:widowControl w:val="0"/>
                    <w:autoSpaceDE w:val="0"/>
                    <w:autoSpaceDN w:val="0"/>
                    <w:adjustRightInd w:val="0"/>
                    <w:spacing w:after="0"/>
                    <w:jc w:val="left"/>
                    <w:rPr>
                      <w:rFonts w:ascii="Arial-BoldMT" w:hAnsi="Arial-BoldMT" w:cs="Arial-BoldMT"/>
                      <w:color w:val="000000"/>
                      <w:szCs w:val="48"/>
                      <w:lang w:val="en-US"/>
                    </w:rPr>
                  </w:pPr>
                  <w:r w:rsidRPr="00E925DB">
                    <w:rPr>
                      <w:rFonts w:ascii="Arial-BoldMT" w:hAnsi="Arial-BoldMT" w:cs="Arial-BoldMT"/>
                      <w:color w:val="000000"/>
                      <w:szCs w:val="48"/>
                      <w:lang w:val="en-US"/>
                    </w:rPr>
                    <w:t xml:space="preserve">by </w:t>
                  </w:r>
                  <w:r>
                    <w:rPr>
                      <w:rFonts w:ascii="Arial-BoldMT" w:hAnsi="Arial-BoldMT" w:cs="Arial-BoldMT"/>
                      <w:color w:val="000000"/>
                      <w:szCs w:val="48"/>
                      <w:lang w:val="en-US"/>
                    </w:rPr>
                    <w:t>Madeleine Saffigna, Dale Franklin, Amelia Church and</w:t>
                  </w:r>
                  <w:r w:rsidRPr="00E925DB">
                    <w:rPr>
                      <w:rFonts w:ascii="Arial-BoldMT" w:hAnsi="Arial-BoldMT" w:cs="Arial-BoldMT"/>
                      <w:color w:val="000000"/>
                      <w:szCs w:val="48"/>
                      <w:lang w:val="en-US"/>
                    </w:rPr>
                    <w:t xml:space="preserve"> Collette Tayler</w:t>
                  </w:r>
                </w:p>
                <w:p w:rsidR="00C745B4" w:rsidRPr="00466302" w:rsidRDefault="00C745B4" w:rsidP="002E17D1">
                  <w:pPr>
                    <w:widowControl w:val="0"/>
                    <w:autoSpaceDE w:val="0"/>
                    <w:autoSpaceDN w:val="0"/>
                    <w:adjustRightInd w:val="0"/>
                    <w:rPr>
                      <w:rFonts w:ascii="Arial" w:hAnsi="Arial" w:cs="Arial-BoldMT"/>
                      <w:color w:val="000000"/>
                      <w:sz w:val="28"/>
                      <w:szCs w:val="48"/>
                      <w:lang w:val="en-US"/>
                    </w:rPr>
                  </w:pPr>
                </w:p>
                <w:p w:rsidR="00C745B4" w:rsidRPr="00466302" w:rsidRDefault="00C745B4" w:rsidP="002E17D1">
                  <w:pPr>
                    <w:widowControl w:val="0"/>
                    <w:autoSpaceDE w:val="0"/>
                    <w:autoSpaceDN w:val="0"/>
                    <w:adjustRightInd w:val="0"/>
                    <w:rPr>
                      <w:rFonts w:ascii="Arial-BoldMT" w:hAnsi="Arial-BoldMT" w:cs="Arial-BoldMT"/>
                      <w:color w:val="000000"/>
                      <w:sz w:val="28"/>
                      <w:szCs w:val="48"/>
                      <w:lang w:val="en-US"/>
                    </w:rPr>
                  </w:pPr>
                </w:p>
                <w:p w:rsidR="00C745B4" w:rsidRPr="00622B5C" w:rsidRDefault="00C745B4" w:rsidP="002E17D1">
                  <w:pPr>
                    <w:rPr>
                      <w:rFonts w:ascii="Univers 55" w:hAnsi="Univers 55"/>
                      <w:color w:val="5D7AA3"/>
                      <w:sz w:val="52"/>
                    </w:rPr>
                  </w:pPr>
                </w:p>
              </w:txbxContent>
            </v:textbox>
            <w10:wrap type="tight"/>
          </v:shape>
        </w:pict>
      </w:r>
      <w:r>
        <w:rPr>
          <w:noProof/>
        </w:rPr>
        <w:pict>
          <v:shape id="_x0000_s1087" type="#_x0000_t75" style="position:absolute;left:0;text-align:left;margin-left:-31.25pt;margin-top:283.15pt;width:234pt;height:351pt;z-index:251660800">
            <v:imagedata r:id="rId9" o:title="Lin 3"/>
          </v:shape>
        </w:pict>
      </w:r>
      <w:r>
        <w:rPr>
          <w:noProof/>
          <w:lang w:val="en-US"/>
        </w:rPr>
        <w:pict>
          <v:line id="_x0000_s1037" style="position:absolute;left:0;text-align:left;z-index:251653632;mso-wrap-edited:f" from="-31.25pt,274.15pt" to="445.75pt,274.15pt" wrapcoords="-62 -2147483648 -62 -2147483648 21631 -2147483648 21631 -2147483648 -62 -2147483648" strokecolor="#003a6e" strokeweight="3pt">
            <v:fill o:detectmouseclick="t"/>
            <v:shadow opacity="22938f" offset="0"/>
            <w10:wrap type="tight"/>
          </v:line>
        </w:pict>
      </w:r>
      <w:r>
        <w:br w:type="page"/>
      </w:r>
      <w:r>
        <w:lastRenderedPageBreak/>
        <w:t xml:space="preserve"> </w:t>
      </w:r>
      <w:bookmarkStart w:id="1" w:name="_Toc166906033"/>
      <w:bookmarkStart w:id="2" w:name="_Toc174694414"/>
      <w:r w:rsidRPr="00A57E6B">
        <w:rPr>
          <w:sz w:val="24"/>
          <w:lang w:val="en-US"/>
        </w:rPr>
        <w:t>Practice Principle 4: Equity and diversity</w:t>
      </w:r>
      <w:bookmarkEnd w:id="1"/>
      <w:bookmarkEnd w:id="2"/>
      <w:r>
        <w:fldChar w:fldCharType="begin"/>
      </w:r>
      <w:r>
        <w:instrText xml:space="preserve"> TOC \o "1-3" </w:instrText>
      </w:r>
      <w:r>
        <w:fldChar w:fldCharType="separate"/>
      </w:r>
    </w:p>
    <w:p w:rsidR="002E17D1" w:rsidRDefault="002E17D1">
      <w:pPr>
        <w:pStyle w:val="TOC2"/>
        <w:tabs>
          <w:tab w:val="right" w:leader="dot" w:pos="8297"/>
        </w:tabs>
        <w:rPr>
          <w:rFonts w:eastAsia="Times New Roman"/>
          <w:b w:val="0"/>
          <w:noProof/>
          <w:sz w:val="24"/>
          <w:szCs w:val="24"/>
          <w:lang w:val="en-US"/>
        </w:rPr>
      </w:pPr>
      <w:r>
        <w:rPr>
          <w:noProof/>
        </w:rPr>
        <w:t>Executive Summary</w:t>
      </w:r>
      <w:r>
        <w:rPr>
          <w:noProof/>
        </w:rPr>
        <w:tab/>
      </w:r>
      <w:r>
        <w:rPr>
          <w:noProof/>
        </w:rPr>
        <w:fldChar w:fldCharType="begin"/>
      </w:r>
      <w:r>
        <w:rPr>
          <w:noProof/>
        </w:rPr>
        <w:instrText xml:space="preserve"> PAGEREF _Toc174694415 \h </w:instrText>
      </w:r>
      <w:r>
        <w:rPr>
          <w:noProof/>
        </w:rPr>
      </w:r>
      <w:r>
        <w:rPr>
          <w:noProof/>
        </w:rPr>
        <w:fldChar w:fldCharType="separate"/>
      </w:r>
      <w:r w:rsidR="00CE5BF3">
        <w:rPr>
          <w:noProof/>
        </w:rPr>
        <w:t>5</w:t>
      </w:r>
      <w:r>
        <w:rPr>
          <w:noProof/>
        </w:rPr>
        <w:fldChar w:fldCharType="end"/>
      </w:r>
    </w:p>
    <w:p w:rsidR="002E17D1" w:rsidRDefault="002E17D1">
      <w:pPr>
        <w:pStyle w:val="TOC2"/>
        <w:tabs>
          <w:tab w:val="right" w:leader="dot" w:pos="8297"/>
        </w:tabs>
        <w:rPr>
          <w:rFonts w:eastAsia="Times New Roman"/>
          <w:b w:val="0"/>
          <w:noProof/>
          <w:sz w:val="24"/>
          <w:szCs w:val="24"/>
          <w:lang w:val="en-US"/>
        </w:rPr>
      </w:pPr>
      <w:r>
        <w:rPr>
          <w:noProof/>
        </w:rPr>
        <w:t>Introduction</w:t>
      </w:r>
      <w:r>
        <w:rPr>
          <w:noProof/>
        </w:rPr>
        <w:tab/>
      </w:r>
      <w:r>
        <w:rPr>
          <w:noProof/>
        </w:rPr>
        <w:fldChar w:fldCharType="begin"/>
      </w:r>
      <w:r>
        <w:rPr>
          <w:noProof/>
        </w:rPr>
        <w:instrText xml:space="preserve"> PAGEREF _Toc174694416 \h </w:instrText>
      </w:r>
      <w:r>
        <w:rPr>
          <w:noProof/>
        </w:rPr>
      </w:r>
      <w:r>
        <w:rPr>
          <w:noProof/>
        </w:rPr>
        <w:fldChar w:fldCharType="separate"/>
      </w:r>
      <w:r w:rsidR="00CE5BF3">
        <w:rPr>
          <w:noProof/>
        </w:rPr>
        <w:t>7</w:t>
      </w:r>
      <w:r>
        <w:rPr>
          <w:noProof/>
        </w:rPr>
        <w:fldChar w:fldCharType="end"/>
      </w:r>
    </w:p>
    <w:p w:rsidR="002E17D1" w:rsidRDefault="002E17D1">
      <w:pPr>
        <w:pStyle w:val="TOC3"/>
        <w:tabs>
          <w:tab w:val="right" w:leader="dot" w:pos="8297"/>
        </w:tabs>
        <w:rPr>
          <w:rFonts w:eastAsia="Times New Roman"/>
          <w:noProof/>
          <w:sz w:val="24"/>
          <w:szCs w:val="24"/>
          <w:lang w:val="en-US"/>
        </w:rPr>
      </w:pPr>
      <w:r>
        <w:rPr>
          <w:noProof/>
        </w:rPr>
        <w:t>Early childhood professionals’ commitment to equity and diversity has a significant impact on children’s learning outcomes and their social and emotional wellbeing.</w:t>
      </w:r>
      <w:r>
        <w:rPr>
          <w:noProof/>
        </w:rPr>
        <w:tab/>
      </w:r>
      <w:r>
        <w:rPr>
          <w:noProof/>
        </w:rPr>
        <w:fldChar w:fldCharType="begin"/>
      </w:r>
      <w:r>
        <w:rPr>
          <w:noProof/>
        </w:rPr>
        <w:instrText xml:space="preserve"> PAGEREF _Toc174694417 \h </w:instrText>
      </w:r>
      <w:r>
        <w:rPr>
          <w:noProof/>
        </w:rPr>
      </w:r>
      <w:r>
        <w:rPr>
          <w:noProof/>
        </w:rPr>
        <w:fldChar w:fldCharType="separate"/>
      </w:r>
      <w:r w:rsidR="00CE5BF3">
        <w:rPr>
          <w:noProof/>
        </w:rPr>
        <w:t>7</w:t>
      </w:r>
      <w:r>
        <w:rPr>
          <w:noProof/>
        </w:rPr>
        <w:fldChar w:fldCharType="end"/>
      </w:r>
    </w:p>
    <w:p w:rsidR="002E17D1" w:rsidRDefault="002E17D1">
      <w:pPr>
        <w:pStyle w:val="TOC2"/>
        <w:tabs>
          <w:tab w:val="right" w:leader="dot" w:pos="8297"/>
        </w:tabs>
        <w:rPr>
          <w:rFonts w:eastAsia="Times New Roman"/>
          <w:b w:val="0"/>
          <w:noProof/>
          <w:sz w:val="24"/>
          <w:szCs w:val="24"/>
          <w:lang w:val="en-US"/>
        </w:rPr>
      </w:pPr>
      <w:r>
        <w:rPr>
          <w:noProof/>
        </w:rPr>
        <w:t>What do we mean by ‘equity and diversity’?</w:t>
      </w:r>
      <w:r>
        <w:rPr>
          <w:noProof/>
        </w:rPr>
        <w:tab/>
      </w:r>
      <w:r>
        <w:rPr>
          <w:noProof/>
        </w:rPr>
        <w:fldChar w:fldCharType="begin"/>
      </w:r>
      <w:r>
        <w:rPr>
          <w:noProof/>
        </w:rPr>
        <w:instrText xml:space="preserve"> PAGEREF _Toc174694418 \h </w:instrText>
      </w:r>
      <w:r>
        <w:rPr>
          <w:noProof/>
        </w:rPr>
      </w:r>
      <w:r>
        <w:rPr>
          <w:noProof/>
        </w:rPr>
        <w:fldChar w:fldCharType="separate"/>
      </w:r>
      <w:r w:rsidR="00CE5BF3">
        <w:rPr>
          <w:noProof/>
        </w:rPr>
        <w:t>8</w:t>
      </w:r>
      <w:r>
        <w:rPr>
          <w:noProof/>
        </w:rPr>
        <w:fldChar w:fldCharType="end"/>
      </w:r>
    </w:p>
    <w:p w:rsidR="002E17D1" w:rsidRDefault="002E17D1">
      <w:pPr>
        <w:pStyle w:val="TOC2"/>
        <w:tabs>
          <w:tab w:val="right" w:leader="dot" w:pos="8297"/>
        </w:tabs>
        <w:rPr>
          <w:rFonts w:eastAsia="Times New Roman"/>
          <w:b w:val="0"/>
          <w:noProof/>
          <w:sz w:val="24"/>
          <w:szCs w:val="24"/>
          <w:lang w:val="en-US"/>
        </w:rPr>
      </w:pPr>
      <w:r>
        <w:rPr>
          <w:noProof/>
        </w:rPr>
        <w:t>Why are equity and diversity important in early childhood learning, development and teaching?</w:t>
      </w:r>
      <w:r>
        <w:rPr>
          <w:noProof/>
        </w:rPr>
        <w:tab/>
      </w:r>
      <w:r>
        <w:rPr>
          <w:noProof/>
        </w:rPr>
        <w:fldChar w:fldCharType="begin"/>
      </w:r>
      <w:r>
        <w:rPr>
          <w:noProof/>
        </w:rPr>
        <w:instrText xml:space="preserve"> PAGEREF _Toc174694419 \h </w:instrText>
      </w:r>
      <w:r>
        <w:rPr>
          <w:noProof/>
        </w:rPr>
      </w:r>
      <w:r>
        <w:rPr>
          <w:noProof/>
        </w:rPr>
        <w:fldChar w:fldCharType="separate"/>
      </w:r>
      <w:r w:rsidR="00CE5BF3">
        <w:rPr>
          <w:noProof/>
        </w:rPr>
        <w:t>9</w:t>
      </w:r>
      <w:r>
        <w:rPr>
          <w:noProof/>
        </w:rPr>
        <w:fldChar w:fldCharType="end"/>
      </w:r>
    </w:p>
    <w:p w:rsidR="002E17D1" w:rsidRDefault="002E17D1">
      <w:pPr>
        <w:pStyle w:val="TOC3"/>
        <w:tabs>
          <w:tab w:val="right" w:leader="dot" w:pos="8297"/>
        </w:tabs>
        <w:rPr>
          <w:rFonts w:eastAsia="Times New Roman"/>
          <w:noProof/>
          <w:sz w:val="24"/>
          <w:szCs w:val="24"/>
          <w:lang w:val="en-US"/>
        </w:rPr>
      </w:pPr>
      <w:r>
        <w:rPr>
          <w:noProof/>
        </w:rPr>
        <w:t>Each child has a unique learning trajectory that requires responsive, individualised learning and development opportunities that will enable them to reach their full potential.</w:t>
      </w:r>
      <w:r>
        <w:rPr>
          <w:noProof/>
        </w:rPr>
        <w:tab/>
      </w:r>
      <w:r>
        <w:rPr>
          <w:noProof/>
        </w:rPr>
        <w:fldChar w:fldCharType="begin"/>
      </w:r>
      <w:r>
        <w:rPr>
          <w:noProof/>
        </w:rPr>
        <w:instrText xml:space="preserve"> PAGEREF _Toc174694420 \h </w:instrText>
      </w:r>
      <w:r>
        <w:rPr>
          <w:noProof/>
        </w:rPr>
      </w:r>
      <w:r>
        <w:rPr>
          <w:noProof/>
        </w:rPr>
        <w:fldChar w:fldCharType="separate"/>
      </w:r>
      <w:r w:rsidR="00CE5BF3">
        <w:rPr>
          <w:noProof/>
        </w:rPr>
        <w:t>9</w:t>
      </w:r>
      <w:r>
        <w:rPr>
          <w:noProof/>
        </w:rPr>
        <w:fldChar w:fldCharType="end"/>
      </w:r>
    </w:p>
    <w:p w:rsidR="002E17D1" w:rsidRDefault="002E17D1">
      <w:pPr>
        <w:pStyle w:val="TOC3"/>
        <w:tabs>
          <w:tab w:val="right" w:leader="dot" w:pos="8297"/>
        </w:tabs>
        <w:rPr>
          <w:noProof/>
        </w:rPr>
      </w:pPr>
    </w:p>
    <w:p w:rsidR="002E17D1" w:rsidRDefault="002E17D1">
      <w:pPr>
        <w:pStyle w:val="TOC3"/>
        <w:tabs>
          <w:tab w:val="right" w:leader="dot" w:pos="8297"/>
        </w:tabs>
        <w:rPr>
          <w:rFonts w:eastAsia="Times New Roman"/>
          <w:noProof/>
          <w:sz w:val="24"/>
          <w:szCs w:val="24"/>
          <w:lang w:val="en-US"/>
        </w:rPr>
      </w:pPr>
      <w:r>
        <w:rPr>
          <w:noProof/>
        </w:rPr>
        <w:t>Children develop positive self-identities and better educational outcomes when early childhood professionals actively promote inclusion and have high expectations for all children.</w:t>
      </w:r>
      <w:r>
        <w:rPr>
          <w:noProof/>
        </w:rPr>
        <w:tab/>
      </w:r>
      <w:r>
        <w:rPr>
          <w:noProof/>
        </w:rPr>
        <w:fldChar w:fldCharType="begin"/>
      </w:r>
      <w:r>
        <w:rPr>
          <w:noProof/>
        </w:rPr>
        <w:instrText xml:space="preserve"> PAGEREF _Toc174694421 \h </w:instrText>
      </w:r>
      <w:r>
        <w:rPr>
          <w:noProof/>
        </w:rPr>
      </w:r>
      <w:r>
        <w:rPr>
          <w:noProof/>
        </w:rPr>
        <w:fldChar w:fldCharType="separate"/>
      </w:r>
      <w:r w:rsidR="00CE5BF3">
        <w:rPr>
          <w:noProof/>
        </w:rPr>
        <w:t>10</w:t>
      </w:r>
      <w:r>
        <w:rPr>
          <w:noProof/>
        </w:rPr>
        <w:fldChar w:fldCharType="end"/>
      </w:r>
    </w:p>
    <w:p w:rsidR="002E17D1" w:rsidRDefault="002E17D1">
      <w:pPr>
        <w:pStyle w:val="TOC3"/>
        <w:tabs>
          <w:tab w:val="right" w:leader="dot" w:pos="8297"/>
        </w:tabs>
        <w:rPr>
          <w:rFonts w:eastAsia="Times New Roman"/>
          <w:noProof/>
          <w:sz w:val="24"/>
          <w:szCs w:val="24"/>
          <w:lang w:val="en-US"/>
        </w:rPr>
      </w:pPr>
      <w:r>
        <w:rPr>
          <w:noProof/>
        </w:rPr>
        <w:t>Children’s learning and development is enhanced when early childhood professionals recognise the benefits of multilingualism and actively support children’s home languages.</w:t>
      </w:r>
      <w:r>
        <w:rPr>
          <w:noProof/>
        </w:rPr>
        <w:tab/>
      </w:r>
      <w:r>
        <w:rPr>
          <w:noProof/>
        </w:rPr>
        <w:fldChar w:fldCharType="begin"/>
      </w:r>
      <w:r>
        <w:rPr>
          <w:noProof/>
        </w:rPr>
        <w:instrText xml:space="preserve"> PAGEREF _Toc174694422 \h </w:instrText>
      </w:r>
      <w:r>
        <w:rPr>
          <w:noProof/>
        </w:rPr>
      </w:r>
      <w:r>
        <w:rPr>
          <w:noProof/>
        </w:rPr>
        <w:fldChar w:fldCharType="separate"/>
      </w:r>
      <w:r w:rsidR="00CE5BF3">
        <w:rPr>
          <w:noProof/>
        </w:rPr>
        <w:t>12</w:t>
      </w:r>
      <w:r>
        <w:rPr>
          <w:noProof/>
        </w:rPr>
        <w:fldChar w:fldCharType="end"/>
      </w:r>
    </w:p>
    <w:p w:rsidR="002E17D1" w:rsidRDefault="002E17D1">
      <w:pPr>
        <w:pStyle w:val="TOC3"/>
        <w:tabs>
          <w:tab w:val="right" w:leader="dot" w:pos="8297"/>
        </w:tabs>
        <w:rPr>
          <w:noProof/>
        </w:rPr>
      </w:pPr>
    </w:p>
    <w:p w:rsidR="002E17D1" w:rsidRDefault="002E17D1">
      <w:pPr>
        <w:pStyle w:val="TOC3"/>
        <w:tabs>
          <w:tab w:val="right" w:leader="dot" w:pos="8297"/>
        </w:tabs>
        <w:rPr>
          <w:rFonts w:eastAsia="Times New Roman"/>
          <w:noProof/>
          <w:sz w:val="24"/>
          <w:szCs w:val="24"/>
          <w:lang w:val="en-US"/>
        </w:rPr>
      </w:pPr>
      <w:r>
        <w:rPr>
          <w:noProof/>
        </w:rPr>
        <w:t>Children have better outcomes in early childhood settings when there are partnerships with families and the community.</w:t>
      </w:r>
      <w:r>
        <w:rPr>
          <w:noProof/>
        </w:rPr>
        <w:tab/>
      </w:r>
      <w:r>
        <w:rPr>
          <w:noProof/>
        </w:rPr>
        <w:fldChar w:fldCharType="begin"/>
      </w:r>
      <w:r>
        <w:rPr>
          <w:noProof/>
        </w:rPr>
        <w:instrText xml:space="preserve"> PAGEREF _Toc174694423 \h </w:instrText>
      </w:r>
      <w:r>
        <w:rPr>
          <w:noProof/>
        </w:rPr>
      </w:r>
      <w:r>
        <w:rPr>
          <w:noProof/>
        </w:rPr>
        <w:fldChar w:fldCharType="separate"/>
      </w:r>
      <w:r w:rsidR="00CE5BF3">
        <w:rPr>
          <w:noProof/>
        </w:rPr>
        <w:t>13</w:t>
      </w:r>
      <w:r>
        <w:rPr>
          <w:noProof/>
        </w:rPr>
        <w:fldChar w:fldCharType="end"/>
      </w:r>
    </w:p>
    <w:p w:rsidR="002E17D1" w:rsidRDefault="002E17D1">
      <w:pPr>
        <w:pStyle w:val="TOC3"/>
        <w:tabs>
          <w:tab w:val="right" w:leader="dot" w:pos="8297"/>
        </w:tabs>
        <w:rPr>
          <w:noProof/>
        </w:rPr>
      </w:pPr>
    </w:p>
    <w:p w:rsidR="002E17D1" w:rsidRDefault="002E17D1">
      <w:pPr>
        <w:pStyle w:val="TOC3"/>
        <w:tabs>
          <w:tab w:val="right" w:leader="dot" w:pos="8297"/>
        </w:tabs>
        <w:rPr>
          <w:rFonts w:eastAsia="Times New Roman"/>
          <w:noProof/>
          <w:sz w:val="24"/>
          <w:szCs w:val="24"/>
          <w:lang w:val="en-US"/>
        </w:rPr>
      </w:pPr>
      <w:r>
        <w:rPr>
          <w:noProof/>
        </w:rPr>
        <w:t>Early childhood settings that promote Aboriginal culture and perspectives support Aboriginal children’s sense of identity and belonging, as well as promoting a culture of understanding and respect towards cultural diversity for all children</w:t>
      </w:r>
      <w:r w:rsidRPr="0078750B">
        <w:rPr>
          <w:rFonts w:cs="Arial"/>
          <w:noProof/>
        </w:rPr>
        <w:t>.</w:t>
      </w:r>
      <w:r>
        <w:rPr>
          <w:noProof/>
        </w:rPr>
        <w:tab/>
      </w:r>
      <w:r>
        <w:rPr>
          <w:noProof/>
        </w:rPr>
        <w:fldChar w:fldCharType="begin"/>
      </w:r>
      <w:r>
        <w:rPr>
          <w:noProof/>
        </w:rPr>
        <w:instrText xml:space="preserve"> PAGEREF _Toc174694424 \h </w:instrText>
      </w:r>
      <w:r>
        <w:rPr>
          <w:noProof/>
        </w:rPr>
      </w:r>
      <w:r>
        <w:rPr>
          <w:noProof/>
        </w:rPr>
        <w:fldChar w:fldCharType="separate"/>
      </w:r>
      <w:r w:rsidR="00CE5BF3">
        <w:rPr>
          <w:noProof/>
        </w:rPr>
        <w:t>14</w:t>
      </w:r>
      <w:r>
        <w:rPr>
          <w:noProof/>
        </w:rPr>
        <w:fldChar w:fldCharType="end"/>
      </w:r>
    </w:p>
    <w:p w:rsidR="002E17D1" w:rsidRDefault="002E17D1">
      <w:pPr>
        <w:pStyle w:val="TOC3"/>
        <w:tabs>
          <w:tab w:val="right" w:leader="dot" w:pos="8297"/>
        </w:tabs>
        <w:rPr>
          <w:noProof/>
        </w:rPr>
      </w:pPr>
    </w:p>
    <w:p w:rsidR="002E17D1" w:rsidRDefault="002E17D1">
      <w:pPr>
        <w:pStyle w:val="TOC3"/>
        <w:tabs>
          <w:tab w:val="right" w:leader="dot" w:pos="8297"/>
        </w:tabs>
        <w:rPr>
          <w:rFonts w:eastAsia="Times New Roman"/>
          <w:noProof/>
          <w:sz w:val="24"/>
          <w:szCs w:val="24"/>
          <w:lang w:val="en-US"/>
        </w:rPr>
      </w:pPr>
      <w:r>
        <w:rPr>
          <w:noProof/>
        </w:rPr>
        <w:t>Promoting a sense of place and connection to the community and the environment is beneficial to all children’s development.</w:t>
      </w:r>
      <w:r>
        <w:rPr>
          <w:noProof/>
        </w:rPr>
        <w:tab/>
      </w:r>
      <w:r>
        <w:rPr>
          <w:noProof/>
        </w:rPr>
        <w:fldChar w:fldCharType="begin"/>
      </w:r>
      <w:r>
        <w:rPr>
          <w:noProof/>
        </w:rPr>
        <w:instrText xml:space="preserve"> PAGEREF _Toc174694425 \h </w:instrText>
      </w:r>
      <w:r>
        <w:rPr>
          <w:noProof/>
        </w:rPr>
      </w:r>
      <w:r>
        <w:rPr>
          <w:noProof/>
        </w:rPr>
        <w:fldChar w:fldCharType="separate"/>
      </w:r>
      <w:r w:rsidR="00CE5BF3">
        <w:rPr>
          <w:noProof/>
        </w:rPr>
        <w:t>15</w:t>
      </w:r>
      <w:r>
        <w:rPr>
          <w:noProof/>
        </w:rPr>
        <w:fldChar w:fldCharType="end"/>
      </w:r>
    </w:p>
    <w:p w:rsidR="002E17D1" w:rsidRDefault="002E17D1">
      <w:pPr>
        <w:pStyle w:val="TOC2"/>
        <w:tabs>
          <w:tab w:val="right" w:leader="dot" w:pos="8297"/>
        </w:tabs>
        <w:rPr>
          <w:rFonts w:eastAsia="Times New Roman"/>
          <w:b w:val="0"/>
          <w:noProof/>
          <w:sz w:val="24"/>
          <w:szCs w:val="24"/>
          <w:lang w:val="en-US"/>
        </w:rPr>
      </w:pPr>
      <w:r>
        <w:rPr>
          <w:noProof/>
        </w:rPr>
        <w:t>How can we achieve best practice?</w:t>
      </w:r>
      <w:r>
        <w:rPr>
          <w:noProof/>
        </w:rPr>
        <w:tab/>
      </w:r>
      <w:r>
        <w:rPr>
          <w:noProof/>
        </w:rPr>
        <w:fldChar w:fldCharType="begin"/>
      </w:r>
      <w:r>
        <w:rPr>
          <w:noProof/>
        </w:rPr>
        <w:instrText xml:space="preserve"> PAGEREF _Toc174694426 \h </w:instrText>
      </w:r>
      <w:r>
        <w:rPr>
          <w:noProof/>
        </w:rPr>
      </w:r>
      <w:r>
        <w:rPr>
          <w:noProof/>
        </w:rPr>
        <w:fldChar w:fldCharType="separate"/>
      </w:r>
      <w:r w:rsidR="00CE5BF3">
        <w:rPr>
          <w:noProof/>
        </w:rPr>
        <w:t>16</w:t>
      </w:r>
      <w:r>
        <w:rPr>
          <w:noProof/>
        </w:rPr>
        <w:fldChar w:fldCharType="end"/>
      </w:r>
    </w:p>
    <w:p w:rsidR="002E17D1" w:rsidRDefault="002E17D1">
      <w:pPr>
        <w:pStyle w:val="TOC3"/>
        <w:tabs>
          <w:tab w:val="right" w:leader="dot" w:pos="8297"/>
        </w:tabs>
        <w:rPr>
          <w:rFonts w:eastAsia="Times New Roman"/>
          <w:noProof/>
          <w:sz w:val="24"/>
          <w:szCs w:val="24"/>
          <w:lang w:val="en-US"/>
        </w:rPr>
      </w:pPr>
      <w:r>
        <w:rPr>
          <w:noProof/>
        </w:rPr>
        <w:t>Early childhood professionals assess children’s learning and development and provide individualised support to achieve best outcomes.</w:t>
      </w:r>
      <w:r>
        <w:rPr>
          <w:noProof/>
        </w:rPr>
        <w:tab/>
      </w:r>
      <w:r>
        <w:rPr>
          <w:noProof/>
        </w:rPr>
        <w:fldChar w:fldCharType="begin"/>
      </w:r>
      <w:r>
        <w:rPr>
          <w:noProof/>
        </w:rPr>
        <w:instrText xml:space="preserve"> PAGEREF _Toc174694427 \h </w:instrText>
      </w:r>
      <w:r>
        <w:rPr>
          <w:noProof/>
        </w:rPr>
      </w:r>
      <w:r>
        <w:rPr>
          <w:noProof/>
        </w:rPr>
        <w:fldChar w:fldCharType="separate"/>
      </w:r>
      <w:r w:rsidR="00CE5BF3">
        <w:rPr>
          <w:noProof/>
        </w:rPr>
        <w:t>16</w:t>
      </w:r>
      <w:r>
        <w:rPr>
          <w:noProof/>
        </w:rPr>
        <w:fldChar w:fldCharType="end"/>
      </w:r>
    </w:p>
    <w:p w:rsidR="002E17D1" w:rsidRDefault="002E17D1">
      <w:pPr>
        <w:pStyle w:val="TOC3"/>
        <w:tabs>
          <w:tab w:val="right" w:leader="dot" w:pos="8297"/>
        </w:tabs>
        <w:rPr>
          <w:noProof/>
        </w:rPr>
      </w:pPr>
    </w:p>
    <w:p w:rsidR="002E17D1" w:rsidRDefault="002E17D1">
      <w:pPr>
        <w:pStyle w:val="TOC3"/>
        <w:tabs>
          <w:tab w:val="right" w:leader="dot" w:pos="8297"/>
        </w:tabs>
        <w:rPr>
          <w:rFonts w:eastAsia="Times New Roman"/>
          <w:noProof/>
          <w:sz w:val="24"/>
          <w:szCs w:val="24"/>
          <w:lang w:val="en-US"/>
        </w:rPr>
      </w:pPr>
      <w:r>
        <w:rPr>
          <w:noProof/>
        </w:rPr>
        <w:t xml:space="preserve">Early childhood </w:t>
      </w:r>
      <w:r w:rsidR="00B3071E">
        <w:rPr>
          <w:noProof/>
        </w:rPr>
        <w:t>practices</w:t>
      </w:r>
      <w:r>
        <w:rPr>
          <w:noProof/>
        </w:rPr>
        <w:t xml:space="preserve"> are inclusive and responsive to diversity and children with additional needs.</w:t>
      </w:r>
      <w:r>
        <w:rPr>
          <w:noProof/>
        </w:rPr>
        <w:tab/>
      </w:r>
      <w:r>
        <w:rPr>
          <w:noProof/>
        </w:rPr>
        <w:fldChar w:fldCharType="begin"/>
      </w:r>
      <w:r>
        <w:rPr>
          <w:noProof/>
        </w:rPr>
        <w:instrText xml:space="preserve"> PAGEREF _Toc174694428 \h </w:instrText>
      </w:r>
      <w:r>
        <w:rPr>
          <w:noProof/>
        </w:rPr>
      </w:r>
      <w:r>
        <w:rPr>
          <w:noProof/>
        </w:rPr>
        <w:fldChar w:fldCharType="separate"/>
      </w:r>
      <w:r w:rsidR="00CE5BF3">
        <w:rPr>
          <w:noProof/>
        </w:rPr>
        <w:t>17</w:t>
      </w:r>
      <w:r>
        <w:rPr>
          <w:noProof/>
        </w:rPr>
        <w:fldChar w:fldCharType="end"/>
      </w:r>
    </w:p>
    <w:p w:rsidR="002E17D1" w:rsidRDefault="002E17D1">
      <w:pPr>
        <w:pStyle w:val="TOC3"/>
        <w:tabs>
          <w:tab w:val="right" w:leader="dot" w:pos="8297"/>
        </w:tabs>
        <w:rPr>
          <w:noProof/>
        </w:rPr>
      </w:pPr>
    </w:p>
    <w:p w:rsidR="002E17D1" w:rsidRDefault="002E17D1">
      <w:pPr>
        <w:pStyle w:val="TOC3"/>
        <w:tabs>
          <w:tab w:val="right" w:leader="dot" w:pos="8297"/>
        </w:tabs>
        <w:rPr>
          <w:rFonts w:eastAsia="Times New Roman"/>
          <w:noProof/>
          <w:sz w:val="24"/>
          <w:szCs w:val="24"/>
          <w:lang w:val="en-US"/>
        </w:rPr>
      </w:pPr>
      <w:r>
        <w:rPr>
          <w:noProof/>
        </w:rPr>
        <w:t>Early childhood professionals critically reflect on and take action to address issues of bias and inequality.</w:t>
      </w:r>
      <w:r>
        <w:rPr>
          <w:noProof/>
        </w:rPr>
        <w:tab/>
      </w:r>
      <w:r>
        <w:rPr>
          <w:noProof/>
        </w:rPr>
        <w:fldChar w:fldCharType="begin"/>
      </w:r>
      <w:r>
        <w:rPr>
          <w:noProof/>
        </w:rPr>
        <w:instrText xml:space="preserve"> PAGEREF _Toc174694429 \h </w:instrText>
      </w:r>
      <w:r>
        <w:rPr>
          <w:noProof/>
        </w:rPr>
      </w:r>
      <w:r>
        <w:rPr>
          <w:noProof/>
        </w:rPr>
        <w:fldChar w:fldCharType="separate"/>
      </w:r>
      <w:r w:rsidR="00CE5BF3">
        <w:rPr>
          <w:noProof/>
        </w:rPr>
        <w:t>18</w:t>
      </w:r>
      <w:r>
        <w:rPr>
          <w:noProof/>
        </w:rPr>
        <w:fldChar w:fldCharType="end"/>
      </w:r>
    </w:p>
    <w:p w:rsidR="002E17D1" w:rsidRDefault="002E17D1">
      <w:pPr>
        <w:pStyle w:val="TOC3"/>
        <w:tabs>
          <w:tab w:val="right" w:leader="dot" w:pos="8297"/>
        </w:tabs>
        <w:rPr>
          <w:noProof/>
        </w:rPr>
      </w:pPr>
    </w:p>
    <w:p w:rsidR="002E17D1" w:rsidRDefault="002E17D1">
      <w:pPr>
        <w:pStyle w:val="TOC3"/>
        <w:tabs>
          <w:tab w:val="right" w:leader="dot" w:pos="8297"/>
        </w:tabs>
        <w:rPr>
          <w:rFonts w:eastAsia="Times New Roman"/>
          <w:noProof/>
          <w:sz w:val="24"/>
          <w:szCs w:val="24"/>
          <w:lang w:val="en-US"/>
        </w:rPr>
      </w:pPr>
      <w:r>
        <w:rPr>
          <w:noProof/>
        </w:rPr>
        <w:t>Early childhood professionals advocate the importance of home languages with families and other professionals.</w:t>
      </w:r>
      <w:r>
        <w:rPr>
          <w:noProof/>
        </w:rPr>
        <w:tab/>
      </w:r>
      <w:r>
        <w:rPr>
          <w:noProof/>
        </w:rPr>
        <w:fldChar w:fldCharType="begin"/>
      </w:r>
      <w:r>
        <w:rPr>
          <w:noProof/>
        </w:rPr>
        <w:instrText xml:space="preserve"> PAGEREF _Toc174694430 \h </w:instrText>
      </w:r>
      <w:r>
        <w:rPr>
          <w:noProof/>
        </w:rPr>
      </w:r>
      <w:r>
        <w:rPr>
          <w:noProof/>
        </w:rPr>
        <w:fldChar w:fldCharType="separate"/>
      </w:r>
      <w:r w:rsidR="00CE5BF3">
        <w:rPr>
          <w:noProof/>
        </w:rPr>
        <w:t>18</w:t>
      </w:r>
      <w:r>
        <w:rPr>
          <w:noProof/>
        </w:rPr>
        <w:fldChar w:fldCharType="end"/>
      </w:r>
    </w:p>
    <w:p w:rsidR="002E17D1" w:rsidRDefault="002E17D1">
      <w:pPr>
        <w:pStyle w:val="TOC3"/>
        <w:tabs>
          <w:tab w:val="right" w:leader="dot" w:pos="8297"/>
        </w:tabs>
        <w:rPr>
          <w:noProof/>
        </w:rPr>
      </w:pPr>
    </w:p>
    <w:p w:rsidR="002E17D1" w:rsidRDefault="002E17D1">
      <w:pPr>
        <w:pStyle w:val="TOC3"/>
        <w:tabs>
          <w:tab w:val="right" w:leader="dot" w:pos="8297"/>
        </w:tabs>
        <w:rPr>
          <w:rFonts w:eastAsia="Times New Roman"/>
          <w:noProof/>
          <w:sz w:val="24"/>
          <w:szCs w:val="24"/>
          <w:lang w:val="en-US"/>
        </w:rPr>
      </w:pPr>
      <w:r>
        <w:rPr>
          <w:noProof/>
        </w:rPr>
        <w:t>Professionals engage families in partnerships that respect and seek understanding about cultural values and diversity.</w:t>
      </w:r>
      <w:r>
        <w:rPr>
          <w:noProof/>
        </w:rPr>
        <w:tab/>
      </w:r>
      <w:r>
        <w:rPr>
          <w:noProof/>
        </w:rPr>
        <w:fldChar w:fldCharType="begin"/>
      </w:r>
      <w:r>
        <w:rPr>
          <w:noProof/>
        </w:rPr>
        <w:instrText xml:space="preserve"> PAGEREF _Toc174694431 \h </w:instrText>
      </w:r>
      <w:r>
        <w:rPr>
          <w:noProof/>
        </w:rPr>
      </w:r>
      <w:r>
        <w:rPr>
          <w:noProof/>
        </w:rPr>
        <w:fldChar w:fldCharType="separate"/>
      </w:r>
      <w:r w:rsidR="00CE5BF3">
        <w:rPr>
          <w:noProof/>
        </w:rPr>
        <w:t>19</w:t>
      </w:r>
      <w:r>
        <w:rPr>
          <w:noProof/>
        </w:rPr>
        <w:fldChar w:fldCharType="end"/>
      </w:r>
    </w:p>
    <w:p w:rsidR="002E17D1" w:rsidRDefault="002E17D1">
      <w:pPr>
        <w:pStyle w:val="TOC3"/>
        <w:tabs>
          <w:tab w:val="right" w:leader="dot" w:pos="8297"/>
        </w:tabs>
        <w:rPr>
          <w:noProof/>
        </w:rPr>
      </w:pPr>
    </w:p>
    <w:p w:rsidR="002E17D1" w:rsidRDefault="002E17D1">
      <w:pPr>
        <w:pStyle w:val="TOC3"/>
        <w:tabs>
          <w:tab w:val="right" w:leader="dot" w:pos="8297"/>
        </w:tabs>
        <w:rPr>
          <w:rFonts w:eastAsia="Times New Roman"/>
          <w:noProof/>
          <w:sz w:val="24"/>
          <w:szCs w:val="24"/>
          <w:lang w:val="en-US"/>
        </w:rPr>
      </w:pPr>
      <w:r>
        <w:rPr>
          <w:noProof/>
        </w:rPr>
        <w:t>Aboriginal knowledge and perspectives are actively sought and explored and Aboriginal culture is valued and represented in the curriculum.</w:t>
      </w:r>
      <w:r>
        <w:rPr>
          <w:noProof/>
        </w:rPr>
        <w:tab/>
      </w:r>
      <w:r>
        <w:rPr>
          <w:noProof/>
        </w:rPr>
        <w:fldChar w:fldCharType="begin"/>
      </w:r>
      <w:r>
        <w:rPr>
          <w:noProof/>
        </w:rPr>
        <w:instrText xml:space="preserve"> PAGEREF _Toc174694432 \h </w:instrText>
      </w:r>
      <w:r>
        <w:rPr>
          <w:noProof/>
        </w:rPr>
      </w:r>
      <w:r>
        <w:rPr>
          <w:noProof/>
        </w:rPr>
        <w:fldChar w:fldCharType="separate"/>
      </w:r>
      <w:r w:rsidR="00CE5BF3">
        <w:rPr>
          <w:noProof/>
        </w:rPr>
        <w:t>20</w:t>
      </w:r>
      <w:r>
        <w:rPr>
          <w:noProof/>
        </w:rPr>
        <w:fldChar w:fldCharType="end"/>
      </w:r>
    </w:p>
    <w:p w:rsidR="002E17D1" w:rsidRDefault="002E17D1">
      <w:pPr>
        <w:pStyle w:val="TOC3"/>
        <w:tabs>
          <w:tab w:val="right" w:leader="dot" w:pos="8297"/>
        </w:tabs>
        <w:rPr>
          <w:rFonts w:eastAsia="Times New Roman"/>
          <w:noProof/>
          <w:sz w:val="24"/>
          <w:szCs w:val="24"/>
          <w:lang w:val="en-US"/>
        </w:rPr>
      </w:pPr>
      <w:r>
        <w:rPr>
          <w:noProof/>
        </w:rPr>
        <w:lastRenderedPageBreak/>
        <w:t>Early childhood professionals support children to develop a sense of place and connection to the environment.</w:t>
      </w:r>
      <w:r>
        <w:rPr>
          <w:noProof/>
        </w:rPr>
        <w:tab/>
      </w:r>
      <w:r>
        <w:rPr>
          <w:noProof/>
        </w:rPr>
        <w:fldChar w:fldCharType="begin"/>
      </w:r>
      <w:r>
        <w:rPr>
          <w:noProof/>
        </w:rPr>
        <w:instrText xml:space="preserve"> PAGEREF _Toc174694433 \h </w:instrText>
      </w:r>
      <w:r>
        <w:rPr>
          <w:noProof/>
        </w:rPr>
      </w:r>
      <w:r>
        <w:rPr>
          <w:noProof/>
        </w:rPr>
        <w:fldChar w:fldCharType="separate"/>
      </w:r>
      <w:r w:rsidR="00CE5BF3">
        <w:rPr>
          <w:noProof/>
        </w:rPr>
        <w:t>21</w:t>
      </w:r>
      <w:r>
        <w:rPr>
          <w:noProof/>
        </w:rPr>
        <w:fldChar w:fldCharType="end"/>
      </w:r>
    </w:p>
    <w:p w:rsidR="002E17D1" w:rsidRDefault="002E17D1">
      <w:pPr>
        <w:pStyle w:val="TOC3"/>
        <w:tabs>
          <w:tab w:val="right" w:leader="dot" w:pos="8297"/>
        </w:tabs>
        <w:rPr>
          <w:noProof/>
        </w:rPr>
      </w:pPr>
    </w:p>
    <w:p w:rsidR="002E17D1" w:rsidRDefault="002E17D1">
      <w:pPr>
        <w:pStyle w:val="TOC3"/>
        <w:tabs>
          <w:tab w:val="right" w:leader="dot" w:pos="8297"/>
        </w:tabs>
        <w:rPr>
          <w:rFonts w:eastAsia="Times New Roman"/>
          <w:noProof/>
          <w:sz w:val="24"/>
          <w:szCs w:val="24"/>
          <w:lang w:val="en-US"/>
        </w:rPr>
      </w:pPr>
      <w:r>
        <w:rPr>
          <w:noProof/>
        </w:rPr>
        <w:t>Early childhood settings and schools provide additional support, training and funding to provide responsive and inclusive programs.</w:t>
      </w:r>
      <w:r>
        <w:rPr>
          <w:noProof/>
        </w:rPr>
        <w:tab/>
      </w:r>
      <w:r>
        <w:rPr>
          <w:noProof/>
        </w:rPr>
        <w:fldChar w:fldCharType="begin"/>
      </w:r>
      <w:r>
        <w:rPr>
          <w:noProof/>
        </w:rPr>
        <w:instrText xml:space="preserve"> PAGEREF _Toc174694434 \h </w:instrText>
      </w:r>
      <w:r>
        <w:rPr>
          <w:noProof/>
        </w:rPr>
      </w:r>
      <w:r>
        <w:rPr>
          <w:noProof/>
        </w:rPr>
        <w:fldChar w:fldCharType="separate"/>
      </w:r>
      <w:r w:rsidR="00CE5BF3">
        <w:rPr>
          <w:noProof/>
        </w:rPr>
        <w:t>21</w:t>
      </w:r>
      <w:r>
        <w:rPr>
          <w:noProof/>
        </w:rPr>
        <w:fldChar w:fldCharType="end"/>
      </w:r>
    </w:p>
    <w:p w:rsidR="002E17D1" w:rsidRDefault="002E17D1">
      <w:pPr>
        <w:pStyle w:val="TOC2"/>
        <w:tabs>
          <w:tab w:val="right" w:leader="dot" w:pos="8297"/>
        </w:tabs>
        <w:rPr>
          <w:rFonts w:eastAsia="Times New Roman"/>
          <w:b w:val="0"/>
          <w:noProof/>
          <w:sz w:val="24"/>
          <w:szCs w:val="24"/>
          <w:lang w:val="en-US"/>
        </w:rPr>
      </w:pPr>
      <w:r>
        <w:rPr>
          <w:noProof/>
        </w:rPr>
        <w:t>What are the implications for achieving best outcomes for children?</w:t>
      </w:r>
      <w:r>
        <w:rPr>
          <w:noProof/>
        </w:rPr>
        <w:tab/>
      </w:r>
      <w:r>
        <w:rPr>
          <w:noProof/>
        </w:rPr>
        <w:fldChar w:fldCharType="begin"/>
      </w:r>
      <w:r>
        <w:rPr>
          <w:noProof/>
        </w:rPr>
        <w:instrText xml:space="preserve"> PAGEREF _Toc174694435 \h </w:instrText>
      </w:r>
      <w:r>
        <w:rPr>
          <w:noProof/>
        </w:rPr>
      </w:r>
      <w:r>
        <w:rPr>
          <w:noProof/>
        </w:rPr>
        <w:fldChar w:fldCharType="separate"/>
      </w:r>
      <w:r w:rsidR="00CE5BF3">
        <w:rPr>
          <w:noProof/>
        </w:rPr>
        <w:t>23</w:t>
      </w:r>
      <w:r>
        <w:rPr>
          <w:noProof/>
        </w:rPr>
        <w:fldChar w:fldCharType="end"/>
      </w:r>
    </w:p>
    <w:p w:rsidR="002E17D1" w:rsidRDefault="002E17D1">
      <w:pPr>
        <w:pStyle w:val="TOC2"/>
        <w:tabs>
          <w:tab w:val="left" w:pos="1298"/>
          <w:tab w:val="right" w:leader="dot" w:pos="8297"/>
        </w:tabs>
        <w:rPr>
          <w:rFonts w:eastAsia="Times New Roman"/>
          <w:b w:val="0"/>
          <w:noProof/>
          <w:sz w:val="24"/>
          <w:szCs w:val="24"/>
          <w:lang w:val="en-US"/>
        </w:rPr>
      </w:pPr>
      <w:r>
        <w:rPr>
          <w:noProof/>
        </w:rPr>
        <w:t>Appendix A</w:t>
      </w:r>
      <w:r>
        <w:rPr>
          <w:rFonts w:eastAsia="Times New Roman"/>
          <w:b w:val="0"/>
          <w:noProof/>
          <w:sz w:val="24"/>
          <w:szCs w:val="24"/>
          <w:lang w:val="en-US"/>
        </w:rPr>
        <w:tab/>
      </w:r>
      <w:r>
        <w:rPr>
          <w:noProof/>
        </w:rPr>
        <w:t>Methodology</w:t>
      </w:r>
      <w:r>
        <w:rPr>
          <w:noProof/>
        </w:rPr>
        <w:tab/>
      </w:r>
      <w:r>
        <w:rPr>
          <w:noProof/>
        </w:rPr>
        <w:fldChar w:fldCharType="begin"/>
      </w:r>
      <w:r>
        <w:rPr>
          <w:noProof/>
        </w:rPr>
        <w:instrText xml:space="preserve"> PAGEREF _Toc174694436 \h </w:instrText>
      </w:r>
      <w:r>
        <w:rPr>
          <w:noProof/>
        </w:rPr>
      </w:r>
      <w:r>
        <w:rPr>
          <w:noProof/>
        </w:rPr>
        <w:fldChar w:fldCharType="separate"/>
      </w:r>
      <w:r w:rsidR="00CE5BF3">
        <w:rPr>
          <w:noProof/>
        </w:rPr>
        <w:t>25</w:t>
      </w:r>
      <w:r>
        <w:rPr>
          <w:noProof/>
        </w:rPr>
        <w:fldChar w:fldCharType="end"/>
      </w:r>
    </w:p>
    <w:p w:rsidR="002E17D1" w:rsidRDefault="002E17D1">
      <w:pPr>
        <w:pStyle w:val="TOC2"/>
        <w:tabs>
          <w:tab w:val="right" w:leader="dot" w:pos="8297"/>
        </w:tabs>
        <w:rPr>
          <w:rFonts w:eastAsia="Times New Roman"/>
          <w:b w:val="0"/>
          <w:noProof/>
          <w:sz w:val="24"/>
          <w:szCs w:val="24"/>
          <w:lang w:val="en-US"/>
        </w:rPr>
      </w:pPr>
      <w:r>
        <w:rPr>
          <w:noProof/>
        </w:rPr>
        <w:t>References</w:t>
      </w:r>
      <w:r>
        <w:rPr>
          <w:noProof/>
        </w:rPr>
        <w:tab/>
      </w:r>
      <w:r>
        <w:rPr>
          <w:noProof/>
        </w:rPr>
        <w:fldChar w:fldCharType="begin"/>
      </w:r>
      <w:r>
        <w:rPr>
          <w:noProof/>
        </w:rPr>
        <w:instrText xml:space="preserve"> PAGEREF _Toc174694437 \h </w:instrText>
      </w:r>
      <w:r>
        <w:rPr>
          <w:noProof/>
        </w:rPr>
      </w:r>
      <w:r>
        <w:rPr>
          <w:noProof/>
        </w:rPr>
        <w:fldChar w:fldCharType="separate"/>
      </w:r>
      <w:r w:rsidR="00CE5BF3">
        <w:rPr>
          <w:noProof/>
        </w:rPr>
        <w:t>27</w:t>
      </w:r>
      <w:r>
        <w:rPr>
          <w:noProof/>
        </w:rPr>
        <w:fldChar w:fldCharType="end"/>
      </w:r>
    </w:p>
    <w:p w:rsidR="002E17D1" w:rsidRPr="00A57E6B" w:rsidRDefault="002E17D1" w:rsidP="002E17D1">
      <w:pPr>
        <w:rPr>
          <w:szCs w:val="24"/>
        </w:rPr>
      </w:pPr>
      <w:r>
        <w:rPr>
          <w:szCs w:val="24"/>
        </w:rPr>
        <w:fldChar w:fldCharType="end"/>
      </w:r>
      <w:r w:rsidRPr="00A57E6B">
        <w:rPr>
          <w:szCs w:val="24"/>
        </w:rPr>
        <w:br w:type="page"/>
      </w:r>
    </w:p>
    <w:p w:rsidR="002E17D1" w:rsidRPr="00A57E6B" w:rsidRDefault="002E17D1" w:rsidP="002E17D1">
      <w:pPr>
        <w:rPr>
          <w:szCs w:val="24"/>
        </w:rPr>
      </w:pPr>
      <w:r w:rsidRPr="00A57E6B">
        <w:rPr>
          <w:szCs w:val="24"/>
        </w:rPr>
        <w:t xml:space="preserve">The Victorian Early Years Learning and Development Framework </w:t>
      </w:r>
      <w:r w:rsidR="00FC353A">
        <w:rPr>
          <w:szCs w:val="24"/>
        </w:rPr>
        <w:t xml:space="preserve">(the Victorian Framework) </w:t>
      </w:r>
      <w:r w:rsidRPr="00A57E6B">
        <w:rPr>
          <w:szCs w:val="24"/>
        </w:rPr>
        <w:t>guide</w:t>
      </w:r>
      <w:r w:rsidR="00FC353A">
        <w:rPr>
          <w:szCs w:val="24"/>
        </w:rPr>
        <w:t>s</w:t>
      </w:r>
      <w:r w:rsidRPr="00A57E6B">
        <w:rPr>
          <w:szCs w:val="24"/>
        </w:rPr>
        <w:t xml:space="preserve"> early childhood professionals</w:t>
      </w:r>
      <w:r w:rsidR="00FC353A">
        <w:rPr>
          <w:szCs w:val="24"/>
        </w:rPr>
        <w:t>’</w:t>
      </w:r>
      <w:r w:rsidRPr="00A57E6B">
        <w:rPr>
          <w:szCs w:val="24"/>
        </w:rPr>
        <w:t xml:space="preserve"> practice in Victoria. The Victorian Framework identifies eight Practice Principles for Learning and Development (Practice Principles). The Practice Principles are based on the P-12 Principles of Learning and Teaching, the pedagogy from the national Early Years Learning Framework, and are informed by the latest research. </w:t>
      </w:r>
    </w:p>
    <w:p w:rsidR="002E17D1" w:rsidRPr="00A57E6B" w:rsidRDefault="002E17D1" w:rsidP="002E17D1">
      <w:pPr>
        <w:rPr>
          <w:szCs w:val="24"/>
        </w:rPr>
      </w:pPr>
      <w:r w:rsidRPr="00A57E6B">
        <w:rPr>
          <w:szCs w:val="24"/>
        </w:rPr>
        <w:t>The Practice Principles are interrelated and designed to inform each other. They are categorised as Collaborative, Effective and Reflective:</w:t>
      </w:r>
    </w:p>
    <w:p w:rsidR="002E17D1" w:rsidRPr="00A57E6B" w:rsidRDefault="002E17D1" w:rsidP="002E17D1">
      <w:pPr>
        <w:rPr>
          <w:b/>
          <w:szCs w:val="24"/>
        </w:rPr>
      </w:pPr>
      <w:r w:rsidRPr="00A57E6B">
        <w:rPr>
          <w:b/>
          <w:szCs w:val="24"/>
        </w:rPr>
        <w:t>Collaborative</w:t>
      </w:r>
    </w:p>
    <w:p w:rsidR="002E17D1" w:rsidRPr="00A57E6B" w:rsidRDefault="002E17D1" w:rsidP="002E17D1">
      <w:pPr>
        <w:rPr>
          <w:szCs w:val="24"/>
        </w:rPr>
      </w:pPr>
      <w:r w:rsidRPr="00A57E6B">
        <w:rPr>
          <w:szCs w:val="24"/>
        </w:rPr>
        <w:t xml:space="preserve">1. Family-centred </w:t>
      </w:r>
      <w:r w:rsidR="00FC353A">
        <w:rPr>
          <w:szCs w:val="24"/>
        </w:rPr>
        <w:t>p</w:t>
      </w:r>
      <w:r w:rsidRPr="00A57E6B">
        <w:rPr>
          <w:szCs w:val="24"/>
        </w:rPr>
        <w:t>ractice</w:t>
      </w:r>
    </w:p>
    <w:p w:rsidR="002E17D1" w:rsidRPr="00A57E6B" w:rsidRDefault="002E17D1" w:rsidP="002E17D1">
      <w:pPr>
        <w:rPr>
          <w:szCs w:val="24"/>
        </w:rPr>
      </w:pPr>
      <w:r w:rsidRPr="00A57E6B">
        <w:rPr>
          <w:szCs w:val="24"/>
        </w:rPr>
        <w:t>2. Partnerships with professionals</w:t>
      </w:r>
    </w:p>
    <w:p w:rsidR="002E17D1" w:rsidRPr="00A57E6B" w:rsidRDefault="002E17D1" w:rsidP="002E17D1">
      <w:pPr>
        <w:rPr>
          <w:szCs w:val="24"/>
        </w:rPr>
      </w:pPr>
      <w:r w:rsidRPr="00A57E6B">
        <w:rPr>
          <w:szCs w:val="24"/>
        </w:rPr>
        <w:t>3. High expectations for every child</w:t>
      </w:r>
    </w:p>
    <w:p w:rsidR="002E17D1" w:rsidRPr="00A57E6B" w:rsidRDefault="002E17D1" w:rsidP="002E17D1">
      <w:pPr>
        <w:rPr>
          <w:b/>
          <w:szCs w:val="24"/>
        </w:rPr>
      </w:pPr>
      <w:r w:rsidRPr="00A57E6B">
        <w:rPr>
          <w:b/>
          <w:szCs w:val="24"/>
        </w:rPr>
        <w:t>Effective</w:t>
      </w:r>
    </w:p>
    <w:p w:rsidR="002E17D1" w:rsidRPr="00A57E6B" w:rsidRDefault="002E17D1" w:rsidP="002E17D1">
      <w:pPr>
        <w:rPr>
          <w:szCs w:val="24"/>
        </w:rPr>
      </w:pPr>
      <w:r w:rsidRPr="00A57E6B">
        <w:rPr>
          <w:szCs w:val="24"/>
        </w:rPr>
        <w:t>4. Equity and diversity</w:t>
      </w:r>
    </w:p>
    <w:p w:rsidR="002E17D1" w:rsidRPr="00A57E6B" w:rsidRDefault="002E17D1" w:rsidP="002E17D1">
      <w:pPr>
        <w:rPr>
          <w:szCs w:val="24"/>
        </w:rPr>
      </w:pPr>
      <w:r w:rsidRPr="00A57E6B">
        <w:rPr>
          <w:szCs w:val="24"/>
        </w:rPr>
        <w:t>5. Respectful relationships and responsive engagement</w:t>
      </w:r>
    </w:p>
    <w:p w:rsidR="002E17D1" w:rsidRPr="00A57E6B" w:rsidRDefault="002E17D1" w:rsidP="002E17D1">
      <w:pPr>
        <w:rPr>
          <w:szCs w:val="24"/>
        </w:rPr>
      </w:pPr>
      <w:r w:rsidRPr="00A57E6B">
        <w:rPr>
          <w:szCs w:val="24"/>
        </w:rPr>
        <w:t>6. Integrated teaching and learning approaches</w:t>
      </w:r>
    </w:p>
    <w:p w:rsidR="002E17D1" w:rsidRPr="00A57E6B" w:rsidRDefault="002E17D1" w:rsidP="002E17D1">
      <w:pPr>
        <w:rPr>
          <w:szCs w:val="24"/>
        </w:rPr>
      </w:pPr>
      <w:r w:rsidRPr="00A57E6B">
        <w:rPr>
          <w:szCs w:val="24"/>
        </w:rPr>
        <w:t>7. Assessment for learning and development</w:t>
      </w:r>
    </w:p>
    <w:p w:rsidR="002E17D1" w:rsidRPr="00A57E6B" w:rsidRDefault="002E17D1" w:rsidP="002E17D1">
      <w:pPr>
        <w:rPr>
          <w:b/>
          <w:szCs w:val="24"/>
        </w:rPr>
      </w:pPr>
      <w:r w:rsidRPr="00A57E6B">
        <w:rPr>
          <w:b/>
          <w:szCs w:val="24"/>
        </w:rPr>
        <w:t>Reflective</w:t>
      </w:r>
    </w:p>
    <w:p w:rsidR="002E17D1" w:rsidRPr="00A57E6B" w:rsidRDefault="002E17D1" w:rsidP="002E17D1">
      <w:pPr>
        <w:rPr>
          <w:szCs w:val="24"/>
        </w:rPr>
      </w:pPr>
      <w:r w:rsidRPr="00A57E6B">
        <w:rPr>
          <w:szCs w:val="24"/>
        </w:rPr>
        <w:t>8. Reflective practice</w:t>
      </w:r>
    </w:p>
    <w:p w:rsidR="002E17D1" w:rsidRPr="00A57E6B" w:rsidRDefault="002E17D1" w:rsidP="002E17D1">
      <w:pPr>
        <w:rPr>
          <w:szCs w:val="24"/>
        </w:rPr>
      </w:pPr>
    </w:p>
    <w:p w:rsidR="002E17D1" w:rsidRPr="00A57E6B" w:rsidRDefault="002E17D1" w:rsidP="002E17D1">
      <w:pPr>
        <w:rPr>
          <w:szCs w:val="24"/>
        </w:rPr>
      </w:pPr>
      <w:r w:rsidRPr="00A57E6B">
        <w:rPr>
          <w:szCs w:val="24"/>
        </w:rPr>
        <w:t>These Evidence Papers document the research that underpins each Practice Principle. The content of the Evidence Papers will be developed into a series of practic</w:t>
      </w:r>
      <w:r w:rsidR="00FC353A">
        <w:rPr>
          <w:szCs w:val="24"/>
        </w:rPr>
        <w:t>e</w:t>
      </w:r>
      <w:r w:rsidRPr="00A57E6B">
        <w:rPr>
          <w:szCs w:val="24"/>
        </w:rPr>
        <w:t xml:space="preserve"> guides which will provide practical advice to early childhood professionals on how to align their practice to the Practice Principles.</w:t>
      </w:r>
    </w:p>
    <w:p w:rsidR="002E17D1" w:rsidRPr="00A57E6B" w:rsidRDefault="002E17D1" w:rsidP="002E17D1">
      <w:pPr>
        <w:rPr>
          <w:szCs w:val="24"/>
        </w:rPr>
      </w:pPr>
    </w:p>
    <w:p w:rsidR="002E17D1" w:rsidRPr="00A57E6B" w:rsidRDefault="002E17D1" w:rsidP="002E17D1">
      <w:pPr>
        <w:pStyle w:val="Heading2"/>
      </w:pPr>
      <w:r w:rsidRPr="00A57E6B">
        <w:br w:type="page"/>
      </w:r>
      <w:bookmarkStart w:id="3" w:name="_Toc150921264"/>
      <w:bookmarkStart w:id="4" w:name="_Toc158862697"/>
      <w:bookmarkStart w:id="5" w:name="_Toc166906034"/>
      <w:bookmarkStart w:id="6" w:name="_Toc174694415"/>
      <w:r w:rsidRPr="00A57E6B">
        <w:lastRenderedPageBreak/>
        <w:t>Executive Summary</w:t>
      </w:r>
      <w:bookmarkEnd w:id="3"/>
      <w:bookmarkEnd w:id="4"/>
      <w:bookmarkEnd w:id="5"/>
      <w:bookmarkEnd w:id="6"/>
    </w:p>
    <w:p w:rsidR="002E17D1" w:rsidRPr="00A57E6B" w:rsidRDefault="002E17D1" w:rsidP="002E17D1">
      <w:pPr>
        <w:autoSpaceDE w:val="0"/>
        <w:autoSpaceDN w:val="0"/>
        <w:adjustRightInd w:val="0"/>
        <w:spacing w:after="0"/>
        <w:rPr>
          <w:rFonts w:eastAsia="Cambria" w:cs="Times-Roman"/>
          <w:color w:val="000000"/>
          <w:szCs w:val="24"/>
          <w:lang w:eastAsia="en-AU"/>
        </w:rPr>
      </w:pPr>
      <w:r w:rsidRPr="00A57E6B">
        <w:rPr>
          <w:rFonts w:cs="Arial"/>
          <w:szCs w:val="24"/>
        </w:rPr>
        <w:t xml:space="preserve">Children achieve better outcomes when their diverse </w:t>
      </w:r>
      <w:r w:rsidR="00FC353A">
        <w:rPr>
          <w:rFonts w:cs="Arial"/>
          <w:szCs w:val="24"/>
        </w:rPr>
        <w:t xml:space="preserve">strengths, </w:t>
      </w:r>
      <w:r w:rsidRPr="00A57E6B">
        <w:rPr>
          <w:rFonts w:cs="Arial"/>
          <w:szCs w:val="24"/>
        </w:rPr>
        <w:t>abilities, interests, and cultural practices are understood and supported. Valuing and respecting diversity is vital for children to develop a strong sense of identity. Principles of equity and diversity are linked to children developing a sense of belonging, identity, and wellbeing so that they become effective communicators and confident, involved learners (</w:t>
      </w:r>
      <w:r w:rsidR="00FC353A">
        <w:rPr>
          <w:rFonts w:cs="Arial"/>
          <w:szCs w:val="24"/>
        </w:rPr>
        <w:t>DEEWR</w:t>
      </w:r>
      <w:r w:rsidRPr="00A57E6B">
        <w:rPr>
          <w:rFonts w:cs="Arial"/>
          <w:szCs w:val="24"/>
        </w:rPr>
        <w:t>, 2009; DEECD, 2009). Research demonstrates that children’s quality early learning experiences set them up for academic success and personal wellbeing later in life (</w:t>
      </w:r>
      <w:r w:rsidRPr="00A57E6B">
        <w:rPr>
          <w:rFonts w:eastAsia="Cambria" w:cs="Times-Roman"/>
          <w:color w:val="000000"/>
          <w:szCs w:val="24"/>
          <w:lang w:eastAsia="en-AU"/>
        </w:rPr>
        <w:t>Sylva, Siraj-Blatchford, Taggart, Sammons</w:t>
      </w:r>
      <w:r w:rsidRPr="00A57E6B">
        <w:rPr>
          <w:rFonts w:eastAsia="Cambria" w:cs="Times-Roman"/>
          <w:color w:val="000066"/>
          <w:szCs w:val="24"/>
          <w:lang w:eastAsia="en-AU"/>
        </w:rPr>
        <w:t xml:space="preserve">, </w:t>
      </w:r>
      <w:r w:rsidRPr="00A57E6B">
        <w:rPr>
          <w:rFonts w:eastAsia="Cambria" w:cs="Times-Roman"/>
          <w:color w:val="000000"/>
          <w:szCs w:val="24"/>
          <w:lang w:eastAsia="en-AU"/>
        </w:rPr>
        <w:t>Melhuish, Elliot</w:t>
      </w:r>
      <w:r w:rsidRPr="00A57E6B">
        <w:rPr>
          <w:rFonts w:eastAsia="Cambria" w:cs="Times-Roman"/>
          <w:szCs w:val="24"/>
          <w:lang w:eastAsia="en-AU"/>
        </w:rPr>
        <w:t xml:space="preserve"> </w:t>
      </w:r>
      <w:r>
        <w:rPr>
          <w:rFonts w:eastAsia="Cambria" w:cs="Times-Roman"/>
          <w:szCs w:val="24"/>
          <w:lang w:eastAsia="en-AU"/>
        </w:rPr>
        <w:t>and</w:t>
      </w:r>
      <w:r w:rsidRPr="00A57E6B">
        <w:rPr>
          <w:rFonts w:eastAsia="Cambria" w:cs="Times-Roman"/>
          <w:color w:val="000066"/>
          <w:szCs w:val="24"/>
          <w:lang w:eastAsia="en-AU"/>
        </w:rPr>
        <w:t xml:space="preserve"> </w:t>
      </w:r>
      <w:r w:rsidRPr="00A57E6B">
        <w:rPr>
          <w:rFonts w:eastAsia="Cambria" w:cs="Times-Roman"/>
          <w:color w:val="000000"/>
          <w:szCs w:val="24"/>
          <w:lang w:eastAsia="en-AU"/>
        </w:rPr>
        <w:t xml:space="preserve">Totsika, 2006; Clarke, 2009). </w:t>
      </w:r>
    </w:p>
    <w:p w:rsidR="002E17D1" w:rsidRPr="00A57E6B" w:rsidRDefault="002E17D1" w:rsidP="002E17D1">
      <w:pPr>
        <w:autoSpaceDE w:val="0"/>
        <w:autoSpaceDN w:val="0"/>
        <w:adjustRightInd w:val="0"/>
        <w:spacing w:after="0" w:line="240" w:lineRule="auto"/>
        <w:rPr>
          <w:rFonts w:eastAsia="Cambria" w:cs="Times-Roman"/>
          <w:color w:val="000000"/>
          <w:szCs w:val="24"/>
          <w:lang w:eastAsia="en-AU"/>
        </w:rPr>
      </w:pPr>
    </w:p>
    <w:p w:rsidR="002E17D1" w:rsidRPr="00A57E6B" w:rsidRDefault="002E17D1" w:rsidP="002E17D1">
      <w:pPr>
        <w:rPr>
          <w:rFonts w:cs="Arial"/>
          <w:szCs w:val="24"/>
        </w:rPr>
      </w:pPr>
      <w:r w:rsidRPr="00A57E6B">
        <w:rPr>
          <w:rFonts w:cs="Arial"/>
          <w:szCs w:val="24"/>
        </w:rPr>
        <w:t>The principles of equity and diversity are recognised internationally and nationally in legislation and professional practice within education. The United Nations Convention on the Rights of the Child (UNCRC, 1989) has promoted children’s rights and ensured that equity</w:t>
      </w:r>
      <w:r>
        <w:rPr>
          <w:rFonts w:cs="Arial"/>
          <w:szCs w:val="24"/>
        </w:rPr>
        <w:t xml:space="preserve"> and diversity are prominent in</w:t>
      </w:r>
      <w:r w:rsidRPr="00A57E6B">
        <w:rPr>
          <w:rFonts w:cs="Arial"/>
          <w:szCs w:val="24"/>
        </w:rPr>
        <w:t xml:space="preserve"> government agendas (Woodhead, 2006; UNCRC, 1989). The principles of equity and diversity in early childhood education are interconnected and cover a broad range of ideas. They require professionals to actively address issues of inequality and to promote the value </w:t>
      </w:r>
      <w:r>
        <w:rPr>
          <w:rFonts w:cs="Arial"/>
          <w:szCs w:val="24"/>
        </w:rPr>
        <w:t>of diversity and</w:t>
      </w:r>
      <w:r w:rsidRPr="00A57E6B">
        <w:rPr>
          <w:rFonts w:cs="Arial"/>
          <w:szCs w:val="24"/>
        </w:rPr>
        <w:t xml:space="preserve"> difference. </w:t>
      </w:r>
    </w:p>
    <w:p w:rsidR="0016781E" w:rsidRDefault="002E17D1" w:rsidP="002E17D1">
      <w:pPr>
        <w:rPr>
          <w:szCs w:val="24"/>
        </w:rPr>
      </w:pPr>
      <w:r w:rsidRPr="00A57E6B">
        <w:rPr>
          <w:szCs w:val="24"/>
        </w:rPr>
        <w:t>The Victorian Early Years Learning and Development Framework (</w:t>
      </w:r>
      <w:r w:rsidR="00FC353A">
        <w:rPr>
          <w:szCs w:val="24"/>
        </w:rPr>
        <w:t>Victorian Framework</w:t>
      </w:r>
      <w:r w:rsidRPr="00A57E6B">
        <w:rPr>
          <w:szCs w:val="24"/>
        </w:rPr>
        <w:t xml:space="preserve">) recognises that the communities in which children live and the diverse cultures in which they grow are fundamental to children’s learning and development. The </w:t>
      </w:r>
      <w:r w:rsidR="00FC353A">
        <w:rPr>
          <w:szCs w:val="24"/>
        </w:rPr>
        <w:t>Victorian Framework</w:t>
      </w:r>
      <w:r w:rsidR="00FC353A" w:rsidRPr="00A57E6B">
        <w:rPr>
          <w:szCs w:val="24"/>
        </w:rPr>
        <w:t xml:space="preserve"> </w:t>
      </w:r>
      <w:r w:rsidRPr="00A57E6B">
        <w:rPr>
          <w:szCs w:val="24"/>
        </w:rPr>
        <w:t xml:space="preserve">specifically recognises and respects our </w:t>
      </w:r>
      <w:r>
        <w:rPr>
          <w:szCs w:val="24"/>
        </w:rPr>
        <w:t>I</w:t>
      </w:r>
      <w:r w:rsidRPr="00A57E6B">
        <w:rPr>
          <w:szCs w:val="24"/>
        </w:rPr>
        <w:t xml:space="preserve">ndigenous cultures and the unique place of Aboriginal </w:t>
      </w:r>
      <w:r>
        <w:rPr>
          <w:szCs w:val="24"/>
        </w:rPr>
        <w:t>people</w:t>
      </w:r>
      <w:r>
        <w:rPr>
          <w:rStyle w:val="FootnoteReference"/>
          <w:szCs w:val="24"/>
        </w:rPr>
        <w:footnoteReference w:id="1"/>
      </w:r>
      <w:r w:rsidR="00FC353A">
        <w:rPr>
          <w:szCs w:val="24"/>
        </w:rPr>
        <w:t xml:space="preserve"> </w:t>
      </w:r>
      <w:r w:rsidRPr="00A57E6B">
        <w:rPr>
          <w:szCs w:val="24"/>
        </w:rPr>
        <w:t xml:space="preserve">as a valued part of Victoria’s heritage and its future (DEECD, 2009 p. 6). </w:t>
      </w:r>
    </w:p>
    <w:p w:rsidR="002E17D1" w:rsidRPr="00A57E6B" w:rsidRDefault="002E17D1" w:rsidP="002E17D1">
      <w:pPr>
        <w:rPr>
          <w:szCs w:val="24"/>
        </w:rPr>
      </w:pPr>
      <w:r w:rsidRPr="00A57E6B">
        <w:rPr>
          <w:szCs w:val="24"/>
        </w:rPr>
        <w:t>Early childhood professionals need to identify and respond to children’s individual strengths</w:t>
      </w:r>
      <w:r w:rsidR="00FC353A">
        <w:rPr>
          <w:szCs w:val="24"/>
        </w:rPr>
        <w:t>,</w:t>
      </w:r>
      <w:r w:rsidRPr="00A57E6B">
        <w:rPr>
          <w:szCs w:val="24"/>
        </w:rPr>
        <w:t xml:space="preserve"> abilities </w:t>
      </w:r>
      <w:r w:rsidR="00FC353A">
        <w:rPr>
          <w:szCs w:val="24"/>
        </w:rPr>
        <w:t xml:space="preserve">and interests </w:t>
      </w:r>
      <w:r w:rsidRPr="00A57E6B">
        <w:rPr>
          <w:szCs w:val="24"/>
        </w:rPr>
        <w:t xml:space="preserve">to ensure that all children have the support they need to reach their </w:t>
      </w:r>
      <w:r w:rsidR="00FC353A">
        <w:rPr>
          <w:szCs w:val="24"/>
        </w:rPr>
        <w:t>full</w:t>
      </w:r>
      <w:r w:rsidR="00FC353A" w:rsidRPr="00A57E6B">
        <w:rPr>
          <w:szCs w:val="24"/>
        </w:rPr>
        <w:t xml:space="preserve"> </w:t>
      </w:r>
      <w:r w:rsidRPr="00A57E6B">
        <w:rPr>
          <w:szCs w:val="24"/>
        </w:rPr>
        <w:t>potentia</w:t>
      </w:r>
      <w:r>
        <w:rPr>
          <w:szCs w:val="24"/>
        </w:rPr>
        <w:t>l. This includes early childhood professional</w:t>
      </w:r>
      <w:r w:rsidRPr="00A57E6B">
        <w:rPr>
          <w:szCs w:val="24"/>
        </w:rPr>
        <w:t>s</w:t>
      </w:r>
      <w:r>
        <w:rPr>
          <w:szCs w:val="24"/>
        </w:rPr>
        <w:t xml:space="preserve"> having</w:t>
      </w:r>
      <w:r w:rsidRPr="00A57E6B">
        <w:rPr>
          <w:szCs w:val="24"/>
        </w:rPr>
        <w:t xml:space="preserve"> high expectations for each child, and recognising and addressing barriers to children’s learning and development (</w:t>
      </w:r>
      <w:r w:rsidR="00FC353A">
        <w:rPr>
          <w:szCs w:val="24"/>
        </w:rPr>
        <w:t>DEEWR</w:t>
      </w:r>
      <w:r w:rsidRPr="00A57E6B">
        <w:rPr>
          <w:szCs w:val="24"/>
        </w:rPr>
        <w:t xml:space="preserve">, 2009; DEECD, 2009).  In summary, the implications for practice informed by the research evidence and detailed in this review are: </w:t>
      </w:r>
    </w:p>
    <w:p w:rsidR="002E17D1" w:rsidRPr="00A57E6B" w:rsidRDefault="002E17D1" w:rsidP="002E17D1">
      <w:pPr>
        <w:numPr>
          <w:ilvl w:val="0"/>
          <w:numId w:val="29"/>
        </w:numPr>
        <w:jc w:val="left"/>
        <w:rPr>
          <w:szCs w:val="24"/>
        </w:rPr>
      </w:pPr>
      <w:r w:rsidRPr="00A57E6B">
        <w:rPr>
          <w:szCs w:val="24"/>
        </w:rPr>
        <w:t xml:space="preserve">Early childhood professionals play an important role in supporting and enhancing equitable learning </w:t>
      </w:r>
      <w:r>
        <w:rPr>
          <w:szCs w:val="24"/>
        </w:rPr>
        <w:t xml:space="preserve">and development </w:t>
      </w:r>
      <w:r w:rsidRPr="00A57E6B">
        <w:rPr>
          <w:szCs w:val="24"/>
        </w:rPr>
        <w:t xml:space="preserve">outcomes for all children.  </w:t>
      </w:r>
    </w:p>
    <w:p w:rsidR="002E17D1" w:rsidRPr="0036419C" w:rsidRDefault="002E17D1" w:rsidP="002E17D1">
      <w:pPr>
        <w:numPr>
          <w:ilvl w:val="0"/>
          <w:numId w:val="29"/>
        </w:numPr>
        <w:jc w:val="left"/>
        <w:rPr>
          <w:szCs w:val="24"/>
        </w:rPr>
      </w:pPr>
      <w:r w:rsidRPr="00A57E6B">
        <w:rPr>
          <w:rFonts w:cs="Arial"/>
          <w:szCs w:val="24"/>
        </w:rPr>
        <w:lastRenderedPageBreak/>
        <w:t xml:space="preserve">Early childhood professionals need to form </w:t>
      </w:r>
      <w:r>
        <w:rPr>
          <w:rFonts w:cs="Arial"/>
          <w:szCs w:val="24"/>
        </w:rPr>
        <w:t xml:space="preserve">strong and respectful </w:t>
      </w:r>
      <w:r w:rsidRPr="00A57E6B">
        <w:rPr>
          <w:rFonts w:cs="Arial"/>
          <w:szCs w:val="24"/>
        </w:rPr>
        <w:t xml:space="preserve">partnerships with families and communities in order to provide the best support for children’s learning and development. </w:t>
      </w:r>
    </w:p>
    <w:p w:rsidR="002E17D1" w:rsidRPr="0036419C" w:rsidRDefault="002E17D1" w:rsidP="002E17D1">
      <w:pPr>
        <w:numPr>
          <w:ilvl w:val="0"/>
          <w:numId w:val="29"/>
        </w:numPr>
        <w:jc w:val="left"/>
        <w:rPr>
          <w:szCs w:val="24"/>
        </w:rPr>
      </w:pPr>
      <w:r w:rsidRPr="00A57E6B">
        <w:rPr>
          <w:szCs w:val="24"/>
        </w:rPr>
        <w:t xml:space="preserve">The early years of life are crucial for young children in developing their first language and cultural identity.  </w:t>
      </w:r>
    </w:p>
    <w:p w:rsidR="002E17D1" w:rsidRPr="00A57E6B" w:rsidRDefault="002E17D1" w:rsidP="002E17D1">
      <w:pPr>
        <w:numPr>
          <w:ilvl w:val="0"/>
          <w:numId w:val="29"/>
        </w:numPr>
        <w:jc w:val="left"/>
        <w:rPr>
          <w:szCs w:val="24"/>
        </w:rPr>
      </w:pPr>
      <w:r w:rsidRPr="00A57E6B">
        <w:rPr>
          <w:rFonts w:cs="Arial"/>
          <w:szCs w:val="24"/>
        </w:rPr>
        <w:t xml:space="preserve">Children’s sense of belonging and identity is enhanced when they have a sense of place and connection to their environment. </w:t>
      </w:r>
    </w:p>
    <w:p w:rsidR="002E17D1" w:rsidRPr="00A57E6B" w:rsidRDefault="006D516C" w:rsidP="002E17D1">
      <w:pPr>
        <w:numPr>
          <w:ilvl w:val="0"/>
          <w:numId w:val="29"/>
        </w:numPr>
        <w:jc w:val="left"/>
        <w:rPr>
          <w:szCs w:val="24"/>
        </w:rPr>
      </w:pPr>
      <w:r>
        <w:rPr>
          <w:szCs w:val="24"/>
        </w:rPr>
        <w:t>E</w:t>
      </w:r>
      <w:r w:rsidR="002E17D1">
        <w:rPr>
          <w:szCs w:val="24"/>
        </w:rPr>
        <w:t>arly childhood professionals’ attitudes</w:t>
      </w:r>
      <w:r>
        <w:rPr>
          <w:szCs w:val="24"/>
        </w:rPr>
        <w:t xml:space="preserve"> toward diversity affect</w:t>
      </w:r>
      <w:r w:rsidR="002E17D1" w:rsidRPr="00A57E6B">
        <w:rPr>
          <w:szCs w:val="24"/>
        </w:rPr>
        <w:t xml:space="preserve"> children’s wellbeing, </w:t>
      </w:r>
      <w:r w:rsidR="002E17D1">
        <w:rPr>
          <w:szCs w:val="24"/>
        </w:rPr>
        <w:t>self-</w:t>
      </w:r>
      <w:r w:rsidR="002E17D1" w:rsidRPr="00A57E6B">
        <w:rPr>
          <w:szCs w:val="24"/>
        </w:rPr>
        <w:t>esteem and academic outcomes.</w:t>
      </w:r>
      <w:r w:rsidR="002E17D1">
        <w:rPr>
          <w:szCs w:val="24"/>
        </w:rPr>
        <w:t xml:space="preserve"> Professionals </w:t>
      </w:r>
      <w:r>
        <w:rPr>
          <w:szCs w:val="24"/>
        </w:rPr>
        <w:t>take responsibility for identifying and removing</w:t>
      </w:r>
      <w:r w:rsidR="002E17D1">
        <w:rPr>
          <w:szCs w:val="24"/>
        </w:rPr>
        <w:t xml:space="preserve"> barriers to equity and inclusion. </w:t>
      </w:r>
    </w:p>
    <w:p w:rsidR="002E17D1" w:rsidRPr="00A57E6B" w:rsidRDefault="002E17D1" w:rsidP="002E17D1">
      <w:pPr>
        <w:rPr>
          <w:szCs w:val="24"/>
        </w:rPr>
      </w:pPr>
    </w:p>
    <w:p w:rsidR="002E17D1" w:rsidRPr="00A57E6B" w:rsidRDefault="002E17D1" w:rsidP="002E17D1">
      <w:pPr>
        <w:rPr>
          <w:szCs w:val="24"/>
        </w:rPr>
      </w:pPr>
    </w:p>
    <w:p w:rsidR="002E17D1" w:rsidRPr="00A57E6B" w:rsidRDefault="002E17D1" w:rsidP="002E17D1">
      <w:pPr>
        <w:pStyle w:val="Heading2"/>
      </w:pPr>
      <w:bookmarkStart w:id="7" w:name="_Toc150921265"/>
      <w:r w:rsidRPr="00A57E6B">
        <w:br w:type="page"/>
      </w:r>
      <w:bookmarkStart w:id="8" w:name="_Toc158862698"/>
      <w:bookmarkStart w:id="9" w:name="_Toc166906035"/>
      <w:bookmarkStart w:id="10" w:name="_Toc174694416"/>
      <w:r w:rsidRPr="00A57E6B">
        <w:lastRenderedPageBreak/>
        <w:t>Introduction</w:t>
      </w:r>
      <w:bookmarkEnd w:id="7"/>
      <w:bookmarkEnd w:id="8"/>
      <w:bookmarkEnd w:id="9"/>
      <w:bookmarkEnd w:id="10"/>
    </w:p>
    <w:p w:rsidR="002E17D1" w:rsidRPr="00A57E6B" w:rsidRDefault="002E17D1" w:rsidP="002E17D1">
      <w:pPr>
        <w:pStyle w:val="Heading3"/>
      </w:pPr>
      <w:bookmarkStart w:id="11" w:name="_Toc166906036"/>
      <w:bookmarkStart w:id="12" w:name="_Toc174694417"/>
      <w:r>
        <w:t>Early childhood professional</w:t>
      </w:r>
      <w:r w:rsidRPr="00A57E6B">
        <w:t>s’ commitment to equity and diversity has a significant impact on children’s learning outcomes and their social and emotional wellbeing.</w:t>
      </w:r>
      <w:bookmarkEnd w:id="11"/>
      <w:bookmarkEnd w:id="12"/>
    </w:p>
    <w:p w:rsidR="002E17D1" w:rsidRPr="00A57E6B" w:rsidRDefault="002E17D1" w:rsidP="002E17D1">
      <w:pPr>
        <w:pStyle w:val="BlockText"/>
        <w:rPr>
          <w:rFonts w:ascii="Cambria" w:hAnsi="Cambria"/>
          <w:szCs w:val="24"/>
          <w:lang w:eastAsia="en-AU"/>
        </w:rPr>
      </w:pPr>
      <w:r w:rsidRPr="00A57E6B">
        <w:rPr>
          <w:rFonts w:ascii="Cambria" w:hAnsi="Cambria"/>
          <w:szCs w:val="24"/>
          <w:lang w:eastAsia="en-AU"/>
        </w:rPr>
        <w:t>Children’s personal, family and cultural histories shape their learning and development. Children learn when early childhood professionals respect their diversity and provide them with the best support, opportunities and experiences. Early childhood professionals:</w:t>
      </w:r>
    </w:p>
    <w:p w:rsidR="002E17D1" w:rsidRPr="00A57E6B" w:rsidRDefault="002E17D1" w:rsidP="002E17D1">
      <w:pPr>
        <w:pStyle w:val="BlockText"/>
        <w:numPr>
          <w:ilvl w:val="0"/>
          <w:numId w:val="28"/>
        </w:numPr>
        <w:rPr>
          <w:rFonts w:ascii="Cambria" w:hAnsi="Cambria"/>
          <w:szCs w:val="24"/>
          <w:lang w:eastAsia="en-AU"/>
        </w:rPr>
      </w:pPr>
      <w:r w:rsidRPr="00A57E6B">
        <w:rPr>
          <w:rFonts w:ascii="Cambria" w:hAnsi="Cambria"/>
          <w:szCs w:val="24"/>
          <w:lang w:eastAsia="en-AU"/>
        </w:rPr>
        <w:t>support children’s evolving capacities to learn from birth</w:t>
      </w:r>
    </w:p>
    <w:p w:rsidR="002E17D1" w:rsidRPr="00A57E6B" w:rsidRDefault="002E17D1" w:rsidP="002E17D1">
      <w:pPr>
        <w:pStyle w:val="BlockText"/>
        <w:numPr>
          <w:ilvl w:val="0"/>
          <w:numId w:val="28"/>
        </w:numPr>
        <w:rPr>
          <w:rFonts w:ascii="Cambria" w:hAnsi="Cambria"/>
          <w:szCs w:val="24"/>
          <w:lang w:eastAsia="en-AU"/>
        </w:rPr>
      </w:pPr>
      <w:r w:rsidRPr="00A57E6B">
        <w:rPr>
          <w:rFonts w:ascii="Cambria" w:hAnsi="Cambria"/>
          <w:szCs w:val="24"/>
          <w:lang w:eastAsia="en-AU"/>
        </w:rPr>
        <w:t>ensure that the interests, abilities and culture of every child and their family are understood, valued and respected</w:t>
      </w:r>
    </w:p>
    <w:p w:rsidR="002E17D1" w:rsidRPr="00A57E6B" w:rsidRDefault="002E17D1" w:rsidP="002E17D1">
      <w:pPr>
        <w:pStyle w:val="BlockText"/>
        <w:numPr>
          <w:ilvl w:val="0"/>
          <w:numId w:val="28"/>
        </w:numPr>
        <w:rPr>
          <w:rFonts w:ascii="Cambria" w:hAnsi="Cambria"/>
          <w:szCs w:val="24"/>
          <w:lang w:eastAsia="en-AU"/>
        </w:rPr>
      </w:pPr>
      <w:r w:rsidRPr="00A57E6B">
        <w:rPr>
          <w:rFonts w:ascii="Cambria" w:hAnsi="Cambria"/>
          <w:szCs w:val="24"/>
          <w:lang w:eastAsia="en-AU"/>
        </w:rPr>
        <w:t>maximise opportunities for every child</w:t>
      </w:r>
    </w:p>
    <w:p w:rsidR="002E17D1" w:rsidRPr="00A57E6B" w:rsidRDefault="002E17D1" w:rsidP="002E17D1">
      <w:pPr>
        <w:pStyle w:val="BlockText"/>
        <w:numPr>
          <w:ilvl w:val="0"/>
          <w:numId w:val="28"/>
        </w:numPr>
        <w:rPr>
          <w:rFonts w:ascii="Cambria" w:hAnsi="Cambria"/>
          <w:szCs w:val="24"/>
          <w:lang w:eastAsia="en-AU"/>
        </w:rPr>
      </w:pPr>
      <w:r w:rsidRPr="00A57E6B">
        <w:rPr>
          <w:rFonts w:ascii="Cambria" w:hAnsi="Cambria"/>
          <w:szCs w:val="24"/>
          <w:lang w:eastAsia="en-AU"/>
        </w:rPr>
        <w:t>identify areas where focused support or intervention is required to improve each child’s learning and development</w:t>
      </w:r>
    </w:p>
    <w:p w:rsidR="002E17D1" w:rsidRPr="00A57E6B" w:rsidRDefault="002E17D1" w:rsidP="002E17D1">
      <w:pPr>
        <w:pStyle w:val="BlockText"/>
        <w:numPr>
          <w:ilvl w:val="0"/>
          <w:numId w:val="28"/>
        </w:numPr>
        <w:rPr>
          <w:rFonts w:ascii="Cambria" w:hAnsi="Cambria"/>
          <w:szCs w:val="24"/>
          <w:lang w:eastAsia="en-AU"/>
        </w:rPr>
      </w:pPr>
      <w:r w:rsidRPr="00A57E6B">
        <w:rPr>
          <w:rFonts w:ascii="Cambria" w:hAnsi="Cambria"/>
          <w:szCs w:val="24"/>
          <w:lang w:eastAsia="en-AU"/>
        </w:rPr>
        <w:t>recognise bi-and multi-lingualism as an asset and support these children to maintain their first language and learn English as a second language</w:t>
      </w:r>
    </w:p>
    <w:p w:rsidR="002E17D1" w:rsidRPr="00A57E6B" w:rsidRDefault="002E17D1" w:rsidP="002E17D1">
      <w:pPr>
        <w:pStyle w:val="BlockText"/>
        <w:numPr>
          <w:ilvl w:val="0"/>
          <w:numId w:val="28"/>
        </w:numPr>
        <w:rPr>
          <w:rFonts w:ascii="Cambria" w:hAnsi="Cambria"/>
          <w:szCs w:val="24"/>
          <w:lang w:eastAsia="en-AU"/>
        </w:rPr>
      </w:pPr>
      <w:r w:rsidRPr="00A57E6B">
        <w:rPr>
          <w:rFonts w:ascii="Cambria" w:hAnsi="Cambria"/>
          <w:szCs w:val="24"/>
          <w:lang w:eastAsia="en-AU"/>
        </w:rPr>
        <w:t xml:space="preserve">promote cultural awareness in all children, including greater understanding of Aboriginal and Torres </w:t>
      </w:r>
      <w:r w:rsidR="003F63B5">
        <w:rPr>
          <w:rFonts w:ascii="Cambria" w:hAnsi="Cambria"/>
          <w:szCs w:val="24"/>
          <w:lang w:eastAsia="en-AU"/>
        </w:rPr>
        <w:t>Strai</w:t>
      </w:r>
      <w:r w:rsidR="003F63B5" w:rsidRPr="00A57E6B">
        <w:rPr>
          <w:rFonts w:ascii="Cambria" w:hAnsi="Cambria"/>
          <w:szCs w:val="24"/>
          <w:lang w:eastAsia="en-AU"/>
        </w:rPr>
        <w:t>t</w:t>
      </w:r>
      <w:r w:rsidRPr="00A57E6B">
        <w:rPr>
          <w:rFonts w:ascii="Cambria" w:hAnsi="Cambria"/>
          <w:szCs w:val="24"/>
          <w:lang w:eastAsia="en-AU"/>
        </w:rPr>
        <w:t xml:space="preserve"> Islander ways of knowing and being</w:t>
      </w:r>
    </w:p>
    <w:p w:rsidR="002E17D1" w:rsidRPr="00A57E6B" w:rsidRDefault="002E17D1" w:rsidP="002E17D1">
      <w:pPr>
        <w:pStyle w:val="BlockText"/>
        <w:numPr>
          <w:ilvl w:val="0"/>
          <w:numId w:val="28"/>
        </w:numPr>
        <w:rPr>
          <w:rFonts w:ascii="Cambria" w:hAnsi="Cambria"/>
          <w:szCs w:val="24"/>
          <w:lang w:eastAsia="en-AU"/>
        </w:rPr>
      </w:pPr>
      <w:r w:rsidRPr="00A57E6B">
        <w:rPr>
          <w:rFonts w:ascii="Cambria" w:hAnsi="Cambria"/>
          <w:szCs w:val="24"/>
          <w:lang w:eastAsia="en-AU"/>
        </w:rPr>
        <w:t>support children to develop a sense of place, identity and a connection to the land</w:t>
      </w:r>
    </w:p>
    <w:p w:rsidR="002E17D1" w:rsidRPr="00A57E6B" w:rsidRDefault="002E17D1" w:rsidP="002E17D1">
      <w:pPr>
        <w:pStyle w:val="BlockText"/>
        <w:numPr>
          <w:ilvl w:val="0"/>
          <w:numId w:val="28"/>
        </w:numPr>
        <w:rPr>
          <w:rFonts w:ascii="Cambria" w:hAnsi="Cambria"/>
          <w:szCs w:val="24"/>
          <w:lang w:eastAsia="en-AU"/>
        </w:rPr>
      </w:pPr>
      <w:r w:rsidRPr="00A57E6B">
        <w:rPr>
          <w:rFonts w:ascii="Cambria" w:hAnsi="Cambria"/>
          <w:szCs w:val="24"/>
          <w:lang w:eastAsia="en-AU"/>
        </w:rPr>
        <w:t>encourage children as active participants for sustainability, influencing the quality of life now, and for future generations.</w:t>
      </w:r>
    </w:p>
    <w:p w:rsidR="002E17D1" w:rsidRPr="00A57E6B" w:rsidRDefault="002E17D1" w:rsidP="002E17D1">
      <w:pPr>
        <w:pStyle w:val="BlockText"/>
        <w:ind w:left="6622"/>
        <w:rPr>
          <w:rFonts w:ascii="Cambria" w:hAnsi="Cambria"/>
          <w:szCs w:val="24"/>
          <w:lang w:eastAsia="en-AU"/>
        </w:rPr>
      </w:pPr>
      <w:r>
        <w:rPr>
          <w:rFonts w:ascii="Cambria" w:hAnsi="Cambria"/>
          <w:szCs w:val="24"/>
          <w:lang w:eastAsia="en-AU"/>
        </w:rPr>
        <w:t xml:space="preserve">     </w:t>
      </w:r>
      <w:r w:rsidRPr="00A57E6B">
        <w:rPr>
          <w:rFonts w:ascii="Cambria" w:hAnsi="Cambria"/>
          <w:szCs w:val="24"/>
          <w:lang w:eastAsia="en-AU"/>
        </w:rPr>
        <w:t>VEYLDF, p.11</w:t>
      </w:r>
    </w:p>
    <w:p w:rsidR="002E17D1" w:rsidRDefault="002E17D1" w:rsidP="002E17D1">
      <w:pPr>
        <w:rPr>
          <w:rFonts w:cs="Arial"/>
          <w:szCs w:val="24"/>
        </w:rPr>
      </w:pPr>
    </w:p>
    <w:p w:rsidR="002E17D1" w:rsidRPr="00A57E6B" w:rsidRDefault="002E17D1" w:rsidP="002E17D1">
      <w:pPr>
        <w:rPr>
          <w:rFonts w:cs="Arial"/>
          <w:szCs w:val="24"/>
        </w:rPr>
      </w:pPr>
      <w:r w:rsidRPr="00A57E6B">
        <w:rPr>
          <w:rFonts w:cs="Arial"/>
          <w:szCs w:val="24"/>
        </w:rPr>
        <w:t xml:space="preserve">This review of evidence supporting Practice Principle 4: Equity and Diversity highlights the importance of </w:t>
      </w:r>
      <w:r>
        <w:rPr>
          <w:rFonts w:cs="Arial"/>
          <w:szCs w:val="24"/>
        </w:rPr>
        <w:t>early childhood professionals</w:t>
      </w:r>
      <w:r w:rsidRPr="00A57E6B">
        <w:rPr>
          <w:rFonts w:cs="Arial"/>
          <w:szCs w:val="24"/>
        </w:rPr>
        <w:t xml:space="preserve"> reflecting the principles of equity and diversity in their daily working practice (</w:t>
      </w:r>
      <w:r w:rsidR="00FC353A">
        <w:rPr>
          <w:rFonts w:cs="Arial"/>
          <w:szCs w:val="24"/>
        </w:rPr>
        <w:t>DEEWR</w:t>
      </w:r>
      <w:r w:rsidRPr="00A57E6B">
        <w:rPr>
          <w:rFonts w:cs="Arial"/>
          <w:szCs w:val="24"/>
        </w:rPr>
        <w:t xml:space="preserve">, 2009; Gunn, Child, Madden, Purdue, Surtees, Thurlow, </w:t>
      </w:r>
      <w:r>
        <w:rPr>
          <w:rFonts w:cs="Arial"/>
          <w:szCs w:val="24"/>
        </w:rPr>
        <w:t>and</w:t>
      </w:r>
      <w:r w:rsidRPr="00A57E6B">
        <w:rPr>
          <w:rFonts w:cs="Arial"/>
          <w:szCs w:val="24"/>
        </w:rPr>
        <w:t xml:space="preserve"> Todd, (2004); MacNaughton, 2003). Moreover, this research highlights how children are able to achieve enhanced outcomes when their diverse strengths and capabilities are identified and supported (Freeman, </w:t>
      </w:r>
      <w:r>
        <w:rPr>
          <w:rFonts w:cs="Arial"/>
          <w:szCs w:val="24"/>
        </w:rPr>
        <w:t>and</w:t>
      </w:r>
      <w:r w:rsidRPr="00A57E6B">
        <w:rPr>
          <w:rFonts w:cs="Arial"/>
          <w:szCs w:val="24"/>
        </w:rPr>
        <w:t xml:space="preserve"> Bochner, 2008; Rodger, Braithwaite </w:t>
      </w:r>
      <w:r>
        <w:rPr>
          <w:rFonts w:cs="Arial"/>
          <w:szCs w:val="24"/>
        </w:rPr>
        <w:t>and</w:t>
      </w:r>
      <w:r w:rsidRPr="00A57E6B">
        <w:rPr>
          <w:rFonts w:cs="Arial"/>
          <w:szCs w:val="24"/>
        </w:rPr>
        <w:t xml:space="preserve"> Keen, 2004; Changying, 2010). Early childhood professionals are integral to this process. When early childhood professionals recognise and understand that diversity contributes positively to the value of Australian society, children’s outcomes are enhanced (</w:t>
      </w:r>
      <w:r w:rsidR="00FC353A">
        <w:rPr>
          <w:rFonts w:cs="Arial"/>
          <w:szCs w:val="24"/>
        </w:rPr>
        <w:t>DEEWR</w:t>
      </w:r>
      <w:r w:rsidRPr="00A57E6B">
        <w:rPr>
          <w:rFonts w:cs="Arial"/>
          <w:szCs w:val="24"/>
        </w:rPr>
        <w:t xml:space="preserve">, 2009). Practice Principle 4 focuses on early childhood professionals’ commitment to equity, </w:t>
      </w:r>
      <w:r>
        <w:rPr>
          <w:rFonts w:cs="Arial"/>
          <w:szCs w:val="24"/>
        </w:rPr>
        <w:t xml:space="preserve">recognising </w:t>
      </w:r>
      <w:r w:rsidRPr="00A57E6B">
        <w:rPr>
          <w:rFonts w:cs="Arial"/>
          <w:szCs w:val="24"/>
        </w:rPr>
        <w:t>that all children have the capacity to succeed (</w:t>
      </w:r>
      <w:r w:rsidR="00FC353A">
        <w:rPr>
          <w:rFonts w:cs="Arial"/>
          <w:szCs w:val="24"/>
        </w:rPr>
        <w:t>DEEWR</w:t>
      </w:r>
      <w:r w:rsidRPr="00A57E6B">
        <w:rPr>
          <w:rFonts w:cs="Arial"/>
          <w:szCs w:val="24"/>
        </w:rPr>
        <w:t xml:space="preserve">, 2009). </w:t>
      </w:r>
    </w:p>
    <w:p w:rsidR="002E17D1" w:rsidRPr="00A57E6B" w:rsidRDefault="002E17D1" w:rsidP="002E17D1">
      <w:pPr>
        <w:rPr>
          <w:rFonts w:cs="Arial"/>
          <w:szCs w:val="24"/>
        </w:rPr>
      </w:pPr>
    </w:p>
    <w:p w:rsidR="002E17D1" w:rsidRPr="00A57E6B" w:rsidRDefault="002E17D1" w:rsidP="002E17D1">
      <w:pPr>
        <w:pStyle w:val="Heading2"/>
      </w:pPr>
      <w:bookmarkStart w:id="13" w:name="_Toc150921266"/>
      <w:bookmarkStart w:id="14" w:name="_Toc158862699"/>
      <w:bookmarkStart w:id="15" w:name="_Toc166906037"/>
      <w:bookmarkStart w:id="16" w:name="_Toc174694418"/>
      <w:r w:rsidRPr="00A57E6B">
        <w:lastRenderedPageBreak/>
        <w:t>What do we mean by ‘equity and diversity’</w:t>
      </w:r>
      <w:bookmarkEnd w:id="13"/>
      <w:r w:rsidRPr="00A57E6B">
        <w:t>?</w:t>
      </w:r>
      <w:bookmarkEnd w:id="14"/>
      <w:bookmarkEnd w:id="15"/>
      <w:bookmarkEnd w:id="16"/>
    </w:p>
    <w:p w:rsidR="002E17D1" w:rsidRPr="00A57E6B" w:rsidRDefault="002E17D1" w:rsidP="002E17D1">
      <w:pPr>
        <w:rPr>
          <w:szCs w:val="24"/>
        </w:rPr>
      </w:pPr>
      <w:r>
        <w:rPr>
          <w:szCs w:val="24"/>
        </w:rPr>
        <w:t xml:space="preserve">The term diversity encapsulates the myriad of differences between individuals. It refers not only to people of differing race and culture but </w:t>
      </w:r>
      <w:r w:rsidR="00FC353A">
        <w:rPr>
          <w:szCs w:val="24"/>
        </w:rPr>
        <w:t xml:space="preserve">also </w:t>
      </w:r>
      <w:r>
        <w:rPr>
          <w:szCs w:val="24"/>
        </w:rPr>
        <w:t>differ</w:t>
      </w:r>
      <w:r w:rsidR="00FC353A">
        <w:rPr>
          <w:szCs w:val="24"/>
        </w:rPr>
        <w:t>ing</w:t>
      </w:r>
      <w:r>
        <w:rPr>
          <w:szCs w:val="24"/>
        </w:rPr>
        <w:t xml:space="preserve"> language</w:t>
      </w:r>
      <w:r w:rsidR="00FC353A">
        <w:rPr>
          <w:szCs w:val="24"/>
        </w:rPr>
        <w:t>s</w:t>
      </w:r>
      <w:r>
        <w:rPr>
          <w:szCs w:val="24"/>
        </w:rPr>
        <w:t xml:space="preserve">, religions, values, abilities, socioeconomic status, gender and any other aspect that makes people different from one another. It therefore recognises that each person is different even if they belong to the same ethnic group, community or family (Durand, 2008; </w:t>
      </w:r>
      <w:r w:rsidRPr="000B28DA">
        <w:rPr>
          <w:szCs w:val="24"/>
        </w:rPr>
        <w:t>Vandenbroeck</w:t>
      </w:r>
      <w:r>
        <w:rPr>
          <w:szCs w:val="24"/>
        </w:rPr>
        <w:t xml:space="preserve">, 2007). </w:t>
      </w:r>
      <w:r w:rsidRPr="00A57E6B">
        <w:rPr>
          <w:szCs w:val="24"/>
        </w:rPr>
        <w:t>Diversity is an evolving concept in early childhood education. While it once referred to children from different ethnic backgrounds it now encapsulates every kind of individual difference tha</w:t>
      </w:r>
      <w:r>
        <w:rPr>
          <w:szCs w:val="24"/>
        </w:rPr>
        <w:t>t exists for children, families</w:t>
      </w:r>
      <w:r w:rsidRPr="00A57E6B">
        <w:rPr>
          <w:szCs w:val="24"/>
        </w:rPr>
        <w:t xml:space="preserve"> and professionals (Durand, 2008; Petriwskyj, 2010). Diversity is the celebration of difference and the acknowledgement that difference is complex and that it exists in some way fo</w:t>
      </w:r>
      <w:r>
        <w:rPr>
          <w:szCs w:val="24"/>
        </w:rPr>
        <w:t>r every child (Petriwskyj, 2010;</w:t>
      </w:r>
      <w:r w:rsidRPr="00A57E6B">
        <w:rPr>
          <w:szCs w:val="24"/>
        </w:rPr>
        <w:t xml:space="preserve"> Potter, 2007). </w:t>
      </w:r>
    </w:p>
    <w:p w:rsidR="002E17D1" w:rsidRPr="0036419C" w:rsidRDefault="002E17D1" w:rsidP="002E17D1">
      <w:pPr>
        <w:pStyle w:val="BodyTextFirstIndent"/>
        <w:rPr>
          <w:lang w:eastAsia="en-AU"/>
        </w:rPr>
      </w:pPr>
      <w:r w:rsidRPr="0036419C">
        <w:rPr>
          <w:lang w:eastAsia="en-AU"/>
        </w:rPr>
        <w:t>Diversity refers to the myriad of experiences and attributes that contribute to each person’s uniqueness regardless of cultural or ethnic heritage or community, such as social class, gender, occupational status, income, sexual orientation, ability, disability, religion and education. (Durand, 2008, p. 837)</w:t>
      </w:r>
    </w:p>
    <w:p w:rsidR="002E17D1" w:rsidRPr="00A57E6B" w:rsidRDefault="002E17D1" w:rsidP="002E17D1">
      <w:pPr>
        <w:autoSpaceDE w:val="0"/>
        <w:autoSpaceDN w:val="0"/>
        <w:adjustRightInd w:val="0"/>
        <w:spacing w:after="0" w:line="240" w:lineRule="auto"/>
        <w:jc w:val="left"/>
        <w:rPr>
          <w:rFonts w:eastAsia="Cambria" w:cs="TimesNewRomanPS"/>
          <w:i/>
          <w:color w:val="292526"/>
          <w:szCs w:val="24"/>
          <w:lang w:eastAsia="en-AU"/>
        </w:rPr>
      </w:pPr>
    </w:p>
    <w:p w:rsidR="002E17D1" w:rsidRDefault="002E17D1" w:rsidP="002E17D1">
      <w:pPr>
        <w:autoSpaceDE w:val="0"/>
        <w:autoSpaceDN w:val="0"/>
        <w:adjustRightInd w:val="0"/>
        <w:spacing w:after="0"/>
        <w:rPr>
          <w:rFonts w:eastAsia="Cambria" w:cs="TimesNewRomanPS"/>
          <w:szCs w:val="24"/>
          <w:lang w:eastAsia="en-AU"/>
        </w:rPr>
      </w:pPr>
      <w:r w:rsidRPr="00A57E6B">
        <w:rPr>
          <w:rFonts w:eastAsia="Cambria" w:cs="TimesNewRomanPS"/>
          <w:szCs w:val="24"/>
          <w:lang w:eastAsia="en-AU"/>
        </w:rPr>
        <w:t xml:space="preserve">This inclusive and positive </w:t>
      </w:r>
      <w:r>
        <w:rPr>
          <w:rFonts w:eastAsia="Cambria" w:cs="TimesNewRomanPS"/>
          <w:szCs w:val="24"/>
          <w:lang w:eastAsia="en-AU"/>
        </w:rPr>
        <w:t xml:space="preserve">conceptualisation of </w:t>
      </w:r>
      <w:r w:rsidRPr="00A57E6B">
        <w:rPr>
          <w:rFonts w:eastAsia="Cambria" w:cs="TimesNewRomanPS"/>
          <w:szCs w:val="24"/>
          <w:lang w:eastAsia="en-AU"/>
        </w:rPr>
        <w:t xml:space="preserve">diversity reflects the growing diversity of Australian culture and </w:t>
      </w:r>
      <w:r>
        <w:rPr>
          <w:rFonts w:eastAsia="Cambria" w:cs="TimesNewRomanPS"/>
          <w:szCs w:val="24"/>
          <w:lang w:eastAsia="en-AU"/>
        </w:rPr>
        <w:t xml:space="preserve">recognises </w:t>
      </w:r>
      <w:r w:rsidRPr="00A57E6B">
        <w:rPr>
          <w:rFonts w:eastAsia="Cambria" w:cs="TimesNewRomanPS"/>
          <w:szCs w:val="24"/>
          <w:lang w:eastAsia="en-AU"/>
        </w:rPr>
        <w:t>that diversity is the norm rather than the excep</w:t>
      </w:r>
      <w:r>
        <w:rPr>
          <w:rFonts w:eastAsia="Cambria" w:cs="TimesNewRomanPS"/>
          <w:szCs w:val="24"/>
          <w:lang w:eastAsia="en-AU"/>
        </w:rPr>
        <w:t>tion (Potter, 2007). W</w:t>
      </w:r>
      <w:r w:rsidRPr="00A57E6B">
        <w:rPr>
          <w:rFonts w:eastAsia="Cambria" w:cs="TimesNewRomanPS"/>
          <w:szCs w:val="24"/>
          <w:lang w:eastAsia="en-AU"/>
        </w:rPr>
        <w:t xml:space="preserve">hen we talk about diversity in early </w:t>
      </w:r>
      <w:r>
        <w:rPr>
          <w:rFonts w:eastAsia="Cambria" w:cs="TimesNewRomanPS"/>
          <w:szCs w:val="24"/>
          <w:lang w:eastAsia="en-AU"/>
        </w:rPr>
        <w:t xml:space="preserve">childhood education and care </w:t>
      </w:r>
      <w:r w:rsidRPr="00A57E6B">
        <w:rPr>
          <w:rFonts w:eastAsia="Cambria" w:cs="TimesNewRomanPS"/>
          <w:szCs w:val="24"/>
          <w:lang w:eastAsia="en-AU"/>
        </w:rPr>
        <w:t xml:space="preserve">we are referring to the right of every child to be socially, academically and physically included in all facets of Australian life.  </w:t>
      </w:r>
    </w:p>
    <w:p w:rsidR="002E17D1" w:rsidRPr="00A57E6B" w:rsidRDefault="002E17D1" w:rsidP="002E17D1">
      <w:pPr>
        <w:autoSpaceDE w:val="0"/>
        <w:autoSpaceDN w:val="0"/>
        <w:adjustRightInd w:val="0"/>
        <w:spacing w:after="0"/>
        <w:rPr>
          <w:rFonts w:eastAsia="Cambria" w:cs="TimesNewRomanPS"/>
          <w:szCs w:val="24"/>
          <w:lang w:eastAsia="en-AU"/>
        </w:rPr>
      </w:pPr>
    </w:p>
    <w:p w:rsidR="0016781E" w:rsidRDefault="002E17D1" w:rsidP="002E17D1">
      <w:pPr>
        <w:rPr>
          <w:rFonts w:cs="Arial"/>
          <w:szCs w:val="24"/>
        </w:rPr>
      </w:pPr>
      <w:r w:rsidRPr="00A57E6B">
        <w:rPr>
          <w:rFonts w:eastAsia="Cambria" w:cs="TimesNewRomanPS"/>
          <w:szCs w:val="24"/>
          <w:lang w:eastAsia="en-AU"/>
        </w:rPr>
        <w:t xml:space="preserve">This definition of diversity is inextricably linked to </w:t>
      </w:r>
      <w:r w:rsidRPr="00A57E6B">
        <w:rPr>
          <w:rFonts w:cs="Arial"/>
          <w:szCs w:val="24"/>
        </w:rPr>
        <w:t>principles of equity. While equity is not easily defined and</w:t>
      </w:r>
      <w:r w:rsidR="0016781E">
        <w:rPr>
          <w:rFonts w:cs="Arial"/>
          <w:szCs w:val="24"/>
        </w:rPr>
        <w:t xml:space="preserve"> the term</w:t>
      </w:r>
      <w:r w:rsidRPr="00A57E6B">
        <w:rPr>
          <w:rFonts w:cs="Arial"/>
          <w:szCs w:val="24"/>
        </w:rPr>
        <w:t xml:space="preserve"> can be used in varying contexts, the concept of equity is principally concerned with providing every child with access to fair, just and non-discriminatory education and care. This requires the idea that inequality inherently exists and must be actively challenged in order to provide children with equal opportunities (Hyland, 2010). </w:t>
      </w:r>
    </w:p>
    <w:p w:rsidR="002E17D1" w:rsidRPr="00A57E6B" w:rsidRDefault="002E17D1" w:rsidP="002E17D1">
      <w:pPr>
        <w:rPr>
          <w:rFonts w:cs="Arial"/>
          <w:szCs w:val="24"/>
        </w:rPr>
      </w:pPr>
      <w:r w:rsidRPr="00A57E6B">
        <w:rPr>
          <w:szCs w:val="24"/>
        </w:rPr>
        <w:t>Much of the research literature refers to the distinction between equity and equality (</w:t>
      </w:r>
      <w:r w:rsidRPr="00A57E6B">
        <w:rPr>
          <w:rFonts w:cs="Arial"/>
          <w:szCs w:val="24"/>
        </w:rPr>
        <w:t xml:space="preserve">Davis, Gunn, Purdue </w:t>
      </w:r>
      <w:r>
        <w:rPr>
          <w:rFonts w:cs="Arial"/>
          <w:szCs w:val="24"/>
        </w:rPr>
        <w:t>and</w:t>
      </w:r>
      <w:r w:rsidRPr="00A57E6B">
        <w:rPr>
          <w:rFonts w:cs="Arial"/>
          <w:szCs w:val="24"/>
        </w:rPr>
        <w:t xml:space="preserve"> Smith, 2007).</w:t>
      </w:r>
      <w:r w:rsidRPr="00A57E6B">
        <w:rPr>
          <w:szCs w:val="24"/>
        </w:rPr>
        <w:t xml:space="preserve"> </w:t>
      </w:r>
      <w:r w:rsidRPr="00A57E6B">
        <w:rPr>
          <w:i/>
          <w:szCs w:val="24"/>
        </w:rPr>
        <w:t xml:space="preserve">Equality </w:t>
      </w:r>
      <w:r w:rsidRPr="00A57E6B">
        <w:rPr>
          <w:szCs w:val="24"/>
        </w:rPr>
        <w:t xml:space="preserve">refers to the same conduct in communication and contact, quantity or values for all individuals. </w:t>
      </w:r>
      <w:r w:rsidRPr="00A57E6B">
        <w:rPr>
          <w:i/>
          <w:szCs w:val="24"/>
        </w:rPr>
        <w:t>Equity</w:t>
      </w:r>
      <w:r w:rsidRPr="00A57E6B">
        <w:rPr>
          <w:szCs w:val="24"/>
        </w:rPr>
        <w:t xml:space="preserve"> refers to ideas of fairness and social justice which may require challenging the dominant culture in order to provide different treatment, or special measures, for individuals or groups to ensure that they experience equal opportunities to succeed (Hyland, 2010; Lappalainen, 2009).  </w:t>
      </w:r>
    </w:p>
    <w:p w:rsidR="002E17D1" w:rsidRPr="00A57E6B" w:rsidRDefault="002E17D1" w:rsidP="002E17D1">
      <w:pPr>
        <w:rPr>
          <w:szCs w:val="24"/>
        </w:rPr>
      </w:pPr>
      <w:r w:rsidRPr="00A57E6B">
        <w:rPr>
          <w:szCs w:val="24"/>
        </w:rPr>
        <w:t xml:space="preserve">In early childhood settings equity means providing high quality education and care to diverse learners. Each child has a unique learning </w:t>
      </w:r>
      <w:r w:rsidR="00FC353A">
        <w:rPr>
          <w:szCs w:val="24"/>
        </w:rPr>
        <w:t xml:space="preserve">and development </w:t>
      </w:r>
      <w:r w:rsidRPr="00A57E6B">
        <w:rPr>
          <w:szCs w:val="24"/>
        </w:rPr>
        <w:t xml:space="preserve">trajectory that may require individualised or additional support for them to be fully engaged in a quality </w:t>
      </w:r>
      <w:r w:rsidR="00FC353A">
        <w:rPr>
          <w:szCs w:val="24"/>
        </w:rPr>
        <w:t>education and care</w:t>
      </w:r>
      <w:r w:rsidRPr="00A57E6B">
        <w:rPr>
          <w:szCs w:val="24"/>
        </w:rPr>
        <w:t xml:space="preserve">. Equity does not mean providing </w:t>
      </w:r>
      <w:r w:rsidRPr="00A57E6B">
        <w:rPr>
          <w:szCs w:val="24"/>
        </w:rPr>
        <w:lastRenderedPageBreak/>
        <w:t xml:space="preserve">the same experiences </w:t>
      </w:r>
      <w:r w:rsidR="00FC353A">
        <w:rPr>
          <w:szCs w:val="24"/>
        </w:rPr>
        <w:t>f</w:t>
      </w:r>
      <w:r w:rsidRPr="00A57E6B">
        <w:rPr>
          <w:szCs w:val="24"/>
        </w:rPr>
        <w:t>o</w:t>
      </w:r>
      <w:r w:rsidR="00FC353A">
        <w:rPr>
          <w:szCs w:val="24"/>
        </w:rPr>
        <w:t>r</w:t>
      </w:r>
      <w:r w:rsidRPr="00A57E6B">
        <w:rPr>
          <w:szCs w:val="24"/>
        </w:rPr>
        <w:t xml:space="preserve"> every child, instead it requires </w:t>
      </w:r>
      <w:r w:rsidR="00FC353A">
        <w:rPr>
          <w:szCs w:val="24"/>
        </w:rPr>
        <w:t>early childhood professionals</w:t>
      </w:r>
      <w:r w:rsidR="00FC353A" w:rsidRPr="00A57E6B">
        <w:rPr>
          <w:szCs w:val="24"/>
        </w:rPr>
        <w:t xml:space="preserve"> </w:t>
      </w:r>
      <w:r w:rsidRPr="00A57E6B">
        <w:rPr>
          <w:szCs w:val="24"/>
        </w:rPr>
        <w:t>to recognise sometimes unseen barriers to learning and power imbalances</w:t>
      </w:r>
      <w:r w:rsidR="00FC353A">
        <w:rPr>
          <w:szCs w:val="24"/>
        </w:rPr>
        <w:t>,</w:t>
      </w:r>
      <w:r w:rsidRPr="00A57E6B">
        <w:rPr>
          <w:szCs w:val="24"/>
        </w:rPr>
        <w:t xml:space="preserve"> and to actively address them (Hyland, 2010; Sarra, 2008). </w:t>
      </w:r>
    </w:p>
    <w:p w:rsidR="002E17D1" w:rsidRPr="00A57E6B" w:rsidRDefault="002E17D1" w:rsidP="002E17D1">
      <w:pPr>
        <w:rPr>
          <w:rFonts w:cs="Arial"/>
          <w:szCs w:val="24"/>
        </w:rPr>
      </w:pPr>
      <w:r w:rsidRPr="00A57E6B">
        <w:rPr>
          <w:rFonts w:cs="Arial"/>
          <w:szCs w:val="24"/>
        </w:rPr>
        <w:t>Australia is a signatory to The United Nations Convention on the Rights of the Child (UNCRC).  The Convention emphasi</w:t>
      </w:r>
      <w:r>
        <w:rPr>
          <w:rFonts w:cs="Arial"/>
          <w:szCs w:val="24"/>
        </w:rPr>
        <w:t>s</w:t>
      </w:r>
      <w:r w:rsidRPr="00A57E6B">
        <w:rPr>
          <w:rFonts w:cs="Arial"/>
          <w:szCs w:val="24"/>
        </w:rPr>
        <w:t>es the importance of children’s right to accessible and affordable education, the child’s right to non-discrimination, and practices in the best inte</w:t>
      </w:r>
      <w:bookmarkStart w:id="17" w:name="Two"/>
      <w:r w:rsidRPr="00A57E6B">
        <w:rPr>
          <w:rFonts w:cs="Arial"/>
          <w:szCs w:val="24"/>
        </w:rPr>
        <w:t>rests of each child (UNCRC, 1989). The Convention not only governs children’s universal rights, but provides early childhood professionals with guidance on principles of equity and diversity.</w:t>
      </w:r>
    </w:p>
    <w:p w:rsidR="002E17D1" w:rsidRPr="00A57E6B" w:rsidRDefault="002E17D1" w:rsidP="002E17D1">
      <w:pPr>
        <w:rPr>
          <w:rFonts w:cs="Arial"/>
          <w:szCs w:val="24"/>
        </w:rPr>
      </w:pPr>
      <w:r w:rsidRPr="00A57E6B">
        <w:rPr>
          <w:rFonts w:eastAsia="Times New Roman" w:cs="Arial"/>
          <w:bCs/>
          <w:szCs w:val="24"/>
          <w:lang w:eastAsia="en-AU"/>
        </w:rPr>
        <w:t>Article 2</w:t>
      </w:r>
      <w:r w:rsidRPr="00A57E6B">
        <w:rPr>
          <w:rFonts w:eastAsia="Times New Roman" w:cs="Arial"/>
          <w:szCs w:val="24"/>
          <w:lang w:eastAsia="en-AU"/>
        </w:rPr>
        <w:t xml:space="preserve"> </w:t>
      </w:r>
      <w:bookmarkEnd w:id="17"/>
      <w:r w:rsidRPr="00A57E6B">
        <w:rPr>
          <w:rFonts w:eastAsia="Times New Roman" w:cs="Arial"/>
          <w:szCs w:val="24"/>
          <w:lang w:eastAsia="en-AU"/>
        </w:rPr>
        <w:t>refers to state parties respecting and ensuring children’s rights without discrimination of any kind, irrespective of the child's race, colour, sex, language, religion, political or other opinion, national, ethnic or social origin, property, disability, birth or other status (UNCRC 1989). Additionally, Article 2 refers to state parties ensuring children are protected against all forms of discrimination or punishment on the basis of the status, activities, expressed opinions, or beliefs of the child's parents, legal guardians, or family members (UNCRC, 1989).</w:t>
      </w:r>
    </w:p>
    <w:p w:rsidR="002E17D1" w:rsidRPr="00A57E6B" w:rsidRDefault="002E17D1" w:rsidP="002E17D1">
      <w:pPr>
        <w:spacing w:line="360" w:lineRule="atLeast"/>
        <w:textAlignment w:val="top"/>
        <w:rPr>
          <w:rFonts w:eastAsia="Times New Roman" w:cs="Arial"/>
          <w:szCs w:val="24"/>
          <w:lang w:eastAsia="en-AU"/>
        </w:rPr>
      </w:pPr>
      <w:r>
        <w:rPr>
          <w:rFonts w:eastAsia="Times New Roman" w:cs="Arial"/>
          <w:szCs w:val="24"/>
          <w:lang w:eastAsia="en-AU"/>
        </w:rPr>
        <w:t>Legislation and p</w:t>
      </w:r>
      <w:r w:rsidRPr="00A57E6B">
        <w:rPr>
          <w:rFonts w:eastAsia="Times New Roman" w:cs="Arial"/>
          <w:szCs w:val="24"/>
          <w:lang w:eastAsia="en-AU"/>
        </w:rPr>
        <w:t xml:space="preserve">olicy frameworks in Victoria such as </w:t>
      </w:r>
      <w:r>
        <w:rPr>
          <w:rFonts w:eastAsia="Times New Roman" w:cs="Arial"/>
          <w:szCs w:val="24"/>
          <w:lang w:eastAsia="en-AU"/>
        </w:rPr>
        <w:t xml:space="preserve">Wannik, Better Opportunities, Better Outcomes, The Equal Opportunity Act, 2010 and </w:t>
      </w:r>
      <w:r w:rsidR="00FC353A">
        <w:rPr>
          <w:rFonts w:eastAsia="Times New Roman" w:cs="Arial"/>
          <w:szCs w:val="24"/>
          <w:lang w:eastAsia="en-AU"/>
        </w:rPr>
        <w:t>t</w:t>
      </w:r>
      <w:r w:rsidRPr="0022087E">
        <w:rPr>
          <w:rFonts w:eastAsia="Times New Roman" w:cs="Arial"/>
          <w:szCs w:val="24"/>
          <w:lang w:eastAsia="en-AU"/>
        </w:rPr>
        <w:t>he Victorian Charter of Human Rights and Responsibilities</w:t>
      </w:r>
      <w:r>
        <w:rPr>
          <w:rFonts w:eastAsia="Times New Roman" w:cs="Arial"/>
          <w:szCs w:val="24"/>
          <w:lang w:eastAsia="en-AU"/>
        </w:rPr>
        <w:t xml:space="preserve">, 2006 outline the Victorian Government’s provisions for </w:t>
      </w:r>
      <w:r w:rsidR="00820085">
        <w:rPr>
          <w:rFonts w:eastAsia="Times New Roman" w:cs="Arial"/>
          <w:szCs w:val="24"/>
          <w:lang w:eastAsia="en-AU"/>
        </w:rPr>
        <w:t xml:space="preserve">the rights of all Victorians, </w:t>
      </w:r>
      <w:r>
        <w:rPr>
          <w:rFonts w:eastAsia="Times New Roman" w:cs="Arial"/>
          <w:szCs w:val="24"/>
          <w:lang w:eastAsia="en-AU"/>
        </w:rPr>
        <w:t xml:space="preserve">Aboriginal education, children with a disability, </w:t>
      </w:r>
      <w:r w:rsidR="00820085">
        <w:rPr>
          <w:rFonts w:eastAsia="Times New Roman" w:cs="Arial"/>
          <w:szCs w:val="24"/>
          <w:lang w:eastAsia="en-AU"/>
        </w:rPr>
        <w:t xml:space="preserve">and </w:t>
      </w:r>
      <w:r>
        <w:rPr>
          <w:rFonts w:eastAsia="Times New Roman" w:cs="Arial"/>
          <w:szCs w:val="24"/>
          <w:lang w:eastAsia="en-AU"/>
        </w:rPr>
        <w:t>anti-discrimination laws</w:t>
      </w:r>
      <w:r w:rsidR="0016781E">
        <w:rPr>
          <w:rFonts w:eastAsia="Times New Roman" w:cs="Arial"/>
          <w:szCs w:val="24"/>
          <w:lang w:eastAsia="en-AU"/>
        </w:rPr>
        <w:t xml:space="preserve"> </w:t>
      </w:r>
      <w:r>
        <w:rPr>
          <w:rFonts w:eastAsia="Times New Roman" w:cs="Arial"/>
          <w:szCs w:val="24"/>
          <w:lang w:eastAsia="en-AU"/>
        </w:rPr>
        <w:t xml:space="preserve">(DEECD </w:t>
      </w:r>
      <w:r w:rsidR="00FC353A">
        <w:rPr>
          <w:rFonts w:eastAsia="Times New Roman" w:cs="Arial"/>
          <w:szCs w:val="24"/>
          <w:lang w:eastAsia="en-AU"/>
        </w:rPr>
        <w:t>and</w:t>
      </w:r>
      <w:r>
        <w:rPr>
          <w:rFonts w:eastAsia="Times New Roman" w:cs="Arial"/>
          <w:szCs w:val="24"/>
          <w:lang w:eastAsia="en-AU"/>
        </w:rPr>
        <w:t xml:space="preserve"> VAEAI 2008, DEECD, 2010, Victorian Equal Opportunity and Human Rights Commission, 2008, Victorian Equal Opportunity and Human Rights Commission, 2011)</w:t>
      </w:r>
      <w:r w:rsidR="00820085">
        <w:rPr>
          <w:rFonts w:eastAsia="Times New Roman" w:cs="Arial"/>
          <w:szCs w:val="24"/>
          <w:lang w:eastAsia="en-AU"/>
        </w:rPr>
        <w:t>.</w:t>
      </w:r>
      <w:r w:rsidRPr="00A57E6B">
        <w:rPr>
          <w:rFonts w:eastAsia="Times New Roman" w:cs="Arial"/>
          <w:szCs w:val="24"/>
          <w:lang w:eastAsia="en-AU"/>
        </w:rPr>
        <w:t xml:space="preserve"> Th</w:t>
      </w:r>
      <w:r w:rsidR="00FC353A">
        <w:rPr>
          <w:rFonts w:eastAsia="Times New Roman" w:cs="Arial"/>
          <w:szCs w:val="24"/>
          <w:lang w:eastAsia="en-AU"/>
        </w:rPr>
        <w:t>ese</w:t>
      </w:r>
      <w:r w:rsidRPr="00A57E6B">
        <w:rPr>
          <w:rFonts w:eastAsia="Times New Roman" w:cs="Arial"/>
          <w:szCs w:val="24"/>
          <w:lang w:eastAsia="en-AU"/>
        </w:rPr>
        <w:t xml:space="preserve"> </w:t>
      </w:r>
      <w:r w:rsidR="00FC353A">
        <w:rPr>
          <w:rFonts w:eastAsia="Times New Roman" w:cs="Arial"/>
          <w:szCs w:val="24"/>
          <w:lang w:eastAsia="en-AU"/>
        </w:rPr>
        <w:t xml:space="preserve">policies and </w:t>
      </w:r>
      <w:r w:rsidRPr="00A57E6B">
        <w:rPr>
          <w:rFonts w:eastAsia="Times New Roman" w:cs="Arial"/>
          <w:szCs w:val="24"/>
          <w:lang w:eastAsia="en-AU"/>
        </w:rPr>
        <w:t xml:space="preserve">legislation provide a statute for equity and diversity in early </w:t>
      </w:r>
      <w:r w:rsidR="00FC353A">
        <w:rPr>
          <w:rFonts w:eastAsia="Times New Roman" w:cs="Arial"/>
          <w:szCs w:val="24"/>
          <w:lang w:eastAsia="en-AU"/>
        </w:rPr>
        <w:t>childhood education and care</w:t>
      </w:r>
      <w:r w:rsidR="00FC353A" w:rsidRPr="00A57E6B">
        <w:rPr>
          <w:rFonts w:eastAsia="Times New Roman" w:cs="Arial"/>
          <w:szCs w:val="24"/>
          <w:lang w:eastAsia="en-AU"/>
        </w:rPr>
        <w:t xml:space="preserve"> </w:t>
      </w:r>
      <w:r w:rsidRPr="00A57E6B">
        <w:rPr>
          <w:rFonts w:eastAsia="Times New Roman" w:cs="Arial"/>
          <w:szCs w:val="24"/>
          <w:lang w:eastAsia="en-AU"/>
        </w:rPr>
        <w:t xml:space="preserve">environments, to support </w:t>
      </w:r>
      <w:r w:rsidR="0016781E">
        <w:rPr>
          <w:rFonts w:eastAsia="Times New Roman" w:cs="Arial"/>
          <w:szCs w:val="24"/>
          <w:lang w:eastAsia="en-AU"/>
        </w:rPr>
        <w:t>better</w:t>
      </w:r>
      <w:r w:rsidR="0016781E" w:rsidRPr="00A57E6B">
        <w:rPr>
          <w:rFonts w:eastAsia="Times New Roman" w:cs="Arial"/>
          <w:szCs w:val="24"/>
          <w:lang w:eastAsia="en-AU"/>
        </w:rPr>
        <w:t xml:space="preserve"> </w:t>
      </w:r>
      <w:r w:rsidRPr="00A57E6B">
        <w:rPr>
          <w:rFonts w:eastAsia="Times New Roman" w:cs="Arial"/>
          <w:szCs w:val="24"/>
          <w:lang w:eastAsia="en-AU"/>
        </w:rPr>
        <w:t xml:space="preserve">outcomes for all children. </w:t>
      </w:r>
    </w:p>
    <w:p w:rsidR="002E17D1" w:rsidRPr="00A57E6B" w:rsidRDefault="002E17D1" w:rsidP="002E17D1">
      <w:pPr>
        <w:rPr>
          <w:rStyle w:val="Emphasis"/>
        </w:rPr>
      </w:pPr>
    </w:p>
    <w:p w:rsidR="002E17D1" w:rsidRPr="00A57E6B" w:rsidRDefault="002E17D1" w:rsidP="002E17D1">
      <w:pPr>
        <w:pStyle w:val="Heading2"/>
      </w:pPr>
      <w:bookmarkStart w:id="18" w:name="_Toc150921267"/>
      <w:bookmarkStart w:id="19" w:name="_Toc158862700"/>
      <w:bookmarkStart w:id="20" w:name="_Toc166906038"/>
      <w:bookmarkStart w:id="21" w:name="_Toc174694419"/>
      <w:r w:rsidRPr="00A57E6B">
        <w:t>Why are equity and diversity important in early childhood learning, development and teaching?</w:t>
      </w:r>
      <w:bookmarkEnd w:id="18"/>
      <w:bookmarkEnd w:id="19"/>
      <w:bookmarkEnd w:id="20"/>
      <w:bookmarkEnd w:id="21"/>
      <w:r w:rsidRPr="00A57E6B">
        <w:t xml:space="preserve"> </w:t>
      </w:r>
    </w:p>
    <w:p w:rsidR="002E17D1" w:rsidRPr="00A57E6B" w:rsidRDefault="002E17D1" w:rsidP="002E17D1">
      <w:pPr>
        <w:pStyle w:val="Heading3"/>
      </w:pPr>
      <w:bookmarkStart w:id="22" w:name="_Toc166906039"/>
      <w:bookmarkStart w:id="23" w:name="_Toc174694420"/>
      <w:r w:rsidRPr="00A57E6B">
        <w:t>Each child has a unique learning trajectory that requires responsive, individualised learning and development opportunities that will enable them to reach their full potential</w:t>
      </w:r>
      <w:r>
        <w:t>.</w:t>
      </w:r>
      <w:bookmarkEnd w:id="22"/>
      <w:bookmarkEnd w:id="23"/>
    </w:p>
    <w:p w:rsidR="002E17D1" w:rsidRDefault="002E17D1" w:rsidP="002E17D1">
      <w:pPr>
        <w:rPr>
          <w:rFonts w:cs="Arial"/>
          <w:szCs w:val="24"/>
        </w:rPr>
      </w:pPr>
      <w:r w:rsidRPr="00A57E6B">
        <w:rPr>
          <w:rFonts w:cs="Arial"/>
          <w:szCs w:val="24"/>
        </w:rPr>
        <w:t>The diversity in Australian early childhood settings is growing every day. The</w:t>
      </w:r>
      <w:r>
        <w:rPr>
          <w:rFonts w:cs="Arial"/>
          <w:szCs w:val="24"/>
        </w:rPr>
        <w:t>re</w:t>
      </w:r>
      <w:r w:rsidRPr="00A57E6B">
        <w:rPr>
          <w:rFonts w:cs="Arial"/>
          <w:szCs w:val="24"/>
        </w:rPr>
        <w:t xml:space="preserve"> are currently almost 400 languages spoken in Australia with 16% of the population speaking a language other than English at home (Australian Bureau of Statistics, 2010). As well as cultural, linguistic and ethnic diversity</w:t>
      </w:r>
      <w:r w:rsidR="00FC353A">
        <w:rPr>
          <w:rFonts w:cs="Arial"/>
          <w:szCs w:val="24"/>
        </w:rPr>
        <w:t>,</w:t>
      </w:r>
      <w:r w:rsidRPr="00A57E6B">
        <w:rPr>
          <w:rFonts w:cs="Arial"/>
          <w:szCs w:val="24"/>
        </w:rPr>
        <w:t xml:space="preserve"> approximately 8% of Australian children have a disability, with approximately </w:t>
      </w:r>
      <w:r w:rsidRPr="00A57E6B">
        <w:rPr>
          <w:rFonts w:cs="Arial"/>
          <w:szCs w:val="24"/>
        </w:rPr>
        <w:lastRenderedPageBreak/>
        <w:t>4.3% of those having a severe disability meaning that they require assi</w:t>
      </w:r>
      <w:r>
        <w:rPr>
          <w:rFonts w:cs="Arial"/>
          <w:szCs w:val="24"/>
        </w:rPr>
        <w:t>stance with communication, self-care and</w:t>
      </w:r>
      <w:r w:rsidRPr="00A57E6B">
        <w:rPr>
          <w:rFonts w:cs="Arial"/>
          <w:szCs w:val="24"/>
        </w:rPr>
        <w:t xml:space="preserve">/or mobility (Australian Institute of Health and Welfare, 2009). </w:t>
      </w:r>
      <w:r w:rsidR="00FC353A">
        <w:rPr>
          <w:rFonts w:cs="Arial"/>
          <w:szCs w:val="24"/>
        </w:rPr>
        <w:t xml:space="preserve">Other attributes like socio-economic status, family structure, living conditions and mental, physical and emotional health </w:t>
      </w:r>
      <w:r w:rsidR="00820085">
        <w:rPr>
          <w:rFonts w:cs="Arial"/>
          <w:szCs w:val="24"/>
        </w:rPr>
        <w:t xml:space="preserve">are </w:t>
      </w:r>
      <w:r w:rsidR="00FC353A">
        <w:rPr>
          <w:rFonts w:cs="Arial"/>
          <w:szCs w:val="24"/>
        </w:rPr>
        <w:t xml:space="preserve">factors that affect </w:t>
      </w:r>
      <w:r w:rsidRPr="00A57E6B">
        <w:rPr>
          <w:rFonts w:cs="Arial"/>
          <w:szCs w:val="24"/>
        </w:rPr>
        <w:t>a child’s learn</w:t>
      </w:r>
      <w:r w:rsidR="00FC353A">
        <w:rPr>
          <w:rFonts w:cs="Arial"/>
          <w:szCs w:val="24"/>
        </w:rPr>
        <w:t>ing</w:t>
      </w:r>
      <w:r w:rsidRPr="00A57E6B">
        <w:rPr>
          <w:rFonts w:cs="Arial"/>
          <w:szCs w:val="24"/>
        </w:rPr>
        <w:t xml:space="preserve"> and develop</w:t>
      </w:r>
      <w:r w:rsidR="00FC353A">
        <w:rPr>
          <w:rFonts w:cs="Arial"/>
          <w:szCs w:val="24"/>
        </w:rPr>
        <w:t>ment trajectories,</w:t>
      </w:r>
      <w:r w:rsidRPr="00A57E6B">
        <w:rPr>
          <w:rFonts w:cs="Arial"/>
          <w:szCs w:val="24"/>
        </w:rPr>
        <w:t xml:space="preserve"> and will affect children in different ways (Woodhead, 2006). </w:t>
      </w:r>
    </w:p>
    <w:p w:rsidR="002E17D1" w:rsidRPr="00A57E6B" w:rsidRDefault="002E17D1" w:rsidP="002E17D1">
      <w:pPr>
        <w:rPr>
          <w:rFonts w:cs="Arial"/>
          <w:szCs w:val="24"/>
        </w:rPr>
      </w:pPr>
      <w:r w:rsidRPr="00A57E6B">
        <w:rPr>
          <w:rFonts w:cs="Arial"/>
          <w:szCs w:val="24"/>
        </w:rPr>
        <w:t xml:space="preserve">Given these complex and varied factors it is evident that every child has a different learning context that can result in barriers to quality education and care. Research shows that issues of poverty, gender, </w:t>
      </w:r>
      <w:r>
        <w:rPr>
          <w:rFonts w:cs="Arial"/>
          <w:szCs w:val="24"/>
        </w:rPr>
        <w:t>language</w:t>
      </w:r>
      <w:r w:rsidRPr="00A57E6B">
        <w:rPr>
          <w:rFonts w:cs="Arial"/>
          <w:szCs w:val="24"/>
        </w:rPr>
        <w:t xml:space="preserve">, culture, race, ability, disability, and living context mean that </w:t>
      </w:r>
      <w:r>
        <w:rPr>
          <w:rFonts w:cs="Arial"/>
          <w:szCs w:val="24"/>
        </w:rPr>
        <w:t>each child</w:t>
      </w:r>
      <w:r w:rsidRPr="00A57E6B">
        <w:rPr>
          <w:rFonts w:cs="Arial"/>
          <w:szCs w:val="24"/>
        </w:rPr>
        <w:t xml:space="preserve"> require</w:t>
      </w:r>
      <w:r>
        <w:rPr>
          <w:rFonts w:cs="Arial"/>
          <w:szCs w:val="24"/>
        </w:rPr>
        <w:t>s</w:t>
      </w:r>
      <w:r w:rsidRPr="00A57E6B">
        <w:rPr>
          <w:rFonts w:cs="Arial"/>
          <w:szCs w:val="24"/>
        </w:rPr>
        <w:t xml:space="preserve"> individualised, different</w:t>
      </w:r>
      <w:r>
        <w:rPr>
          <w:rFonts w:cs="Arial"/>
          <w:szCs w:val="24"/>
        </w:rPr>
        <w:t>iated</w:t>
      </w:r>
      <w:r w:rsidRPr="00A57E6B">
        <w:rPr>
          <w:rFonts w:cs="Arial"/>
          <w:szCs w:val="24"/>
        </w:rPr>
        <w:t xml:space="preserve"> support to reach the</w:t>
      </w:r>
      <w:r>
        <w:rPr>
          <w:rFonts w:cs="Arial"/>
          <w:szCs w:val="24"/>
        </w:rPr>
        <w:t>ir full potential (Hyland, 2010;</w:t>
      </w:r>
      <w:r w:rsidRPr="00A57E6B">
        <w:rPr>
          <w:rFonts w:cs="Arial"/>
          <w:szCs w:val="24"/>
        </w:rPr>
        <w:t xml:space="preserve"> Broderick, </w:t>
      </w:r>
      <w:r w:rsidRPr="00A57E6B">
        <w:rPr>
          <w:szCs w:val="24"/>
        </w:rPr>
        <w:t xml:space="preserve">Mehta-Parekh </w:t>
      </w:r>
      <w:r>
        <w:rPr>
          <w:szCs w:val="24"/>
        </w:rPr>
        <w:t>and</w:t>
      </w:r>
      <w:r w:rsidRPr="00A57E6B">
        <w:rPr>
          <w:szCs w:val="24"/>
        </w:rPr>
        <w:t xml:space="preserve"> Reid, 2005</w:t>
      </w:r>
      <w:r w:rsidRPr="00A57E6B">
        <w:rPr>
          <w:rFonts w:cs="Arial"/>
          <w:szCs w:val="24"/>
        </w:rPr>
        <w:t xml:space="preserve">). Pennington (2009) documents an example of the benefits of using storytelling for children learning English as a second </w:t>
      </w:r>
      <w:r>
        <w:rPr>
          <w:rFonts w:cs="Arial"/>
          <w:szCs w:val="24"/>
        </w:rPr>
        <w:t xml:space="preserve">or additional </w:t>
      </w:r>
      <w:r w:rsidRPr="00A57E6B">
        <w:rPr>
          <w:rFonts w:cs="Arial"/>
          <w:szCs w:val="24"/>
        </w:rPr>
        <w:t xml:space="preserve">language. The study describes how storytelling provided opportunities for children to explore their identity, through culturally appropriate narratives and also begin to engage with </w:t>
      </w:r>
      <w:r>
        <w:rPr>
          <w:rFonts w:cs="Arial"/>
          <w:szCs w:val="24"/>
        </w:rPr>
        <w:t xml:space="preserve">English language </w:t>
      </w:r>
      <w:r w:rsidRPr="00A57E6B">
        <w:rPr>
          <w:rFonts w:cs="Arial"/>
          <w:szCs w:val="24"/>
        </w:rPr>
        <w:t xml:space="preserve">texts, important for </w:t>
      </w:r>
      <w:r w:rsidR="00820085">
        <w:rPr>
          <w:rFonts w:cs="Arial"/>
          <w:szCs w:val="24"/>
        </w:rPr>
        <w:t xml:space="preserve">the acquisition of </w:t>
      </w:r>
      <w:r w:rsidRPr="00A57E6B">
        <w:rPr>
          <w:rFonts w:cs="Arial"/>
          <w:szCs w:val="24"/>
        </w:rPr>
        <w:t xml:space="preserve">formal language skills. This tailored approach is an example of how diversity can be supported and valued through an individualised approach (Pennington, 2009). </w:t>
      </w:r>
    </w:p>
    <w:p w:rsidR="002E17D1" w:rsidRPr="00A57E6B" w:rsidRDefault="002E17D1" w:rsidP="002E17D1">
      <w:pPr>
        <w:rPr>
          <w:rFonts w:cs="Arial"/>
          <w:szCs w:val="24"/>
        </w:rPr>
      </w:pPr>
      <w:r w:rsidRPr="00A57E6B">
        <w:rPr>
          <w:rFonts w:cs="Arial"/>
          <w:szCs w:val="24"/>
        </w:rPr>
        <w:t xml:space="preserve">Individualised, varied and additional support is especially important for the meaningful inclusion of children with additional needs. Equity and </w:t>
      </w:r>
      <w:r>
        <w:rPr>
          <w:rFonts w:cs="Arial"/>
          <w:szCs w:val="24"/>
        </w:rPr>
        <w:t>d</w:t>
      </w:r>
      <w:r w:rsidRPr="00A57E6B">
        <w:rPr>
          <w:rFonts w:cs="Arial"/>
          <w:szCs w:val="24"/>
        </w:rPr>
        <w:t>iversity are based on every child’s right to be</w:t>
      </w:r>
      <w:r>
        <w:rPr>
          <w:rFonts w:cs="Arial"/>
          <w:szCs w:val="24"/>
        </w:rPr>
        <w:t xml:space="preserve"> a</w:t>
      </w:r>
      <w:r w:rsidRPr="00A57E6B">
        <w:rPr>
          <w:rFonts w:cs="Arial"/>
          <w:szCs w:val="24"/>
        </w:rPr>
        <w:t xml:space="preserve"> valued member of the learning community and to be supported to engage in all learning settings (Petriwskyj, 2010). </w:t>
      </w:r>
    </w:p>
    <w:p w:rsidR="002E17D1" w:rsidRDefault="002E17D1" w:rsidP="002E17D1">
      <w:pPr>
        <w:pStyle w:val="Heading3"/>
      </w:pPr>
    </w:p>
    <w:p w:rsidR="002E17D1" w:rsidRPr="00A57E6B" w:rsidRDefault="002E17D1" w:rsidP="002E17D1">
      <w:pPr>
        <w:pStyle w:val="Heading3"/>
      </w:pPr>
      <w:bookmarkStart w:id="24" w:name="_Toc166906040"/>
      <w:bookmarkStart w:id="25" w:name="_Toc174694421"/>
      <w:r>
        <w:t>Children develop positive self-</w:t>
      </w:r>
      <w:r w:rsidRPr="00A57E6B">
        <w:t>identities and better educational outcomes when early childhood professionals actively promote inclusion and</w:t>
      </w:r>
      <w:r>
        <w:t xml:space="preserve"> have high expectations for all children</w:t>
      </w:r>
      <w:r w:rsidRPr="00A57E6B">
        <w:t>.</w:t>
      </w:r>
      <w:bookmarkEnd w:id="24"/>
      <w:bookmarkEnd w:id="25"/>
      <w:r w:rsidRPr="00A57E6B">
        <w:t xml:space="preserve"> </w:t>
      </w:r>
    </w:p>
    <w:p w:rsidR="002E17D1" w:rsidRDefault="002E17D1" w:rsidP="002E17D1">
      <w:pPr>
        <w:rPr>
          <w:rFonts w:cs="Arial"/>
          <w:szCs w:val="24"/>
        </w:rPr>
      </w:pPr>
      <w:r w:rsidRPr="00A57E6B">
        <w:rPr>
          <w:rFonts w:cs="Arial"/>
          <w:szCs w:val="24"/>
        </w:rPr>
        <w:t xml:space="preserve">It is important to define and critically analyse </w:t>
      </w:r>
      <w:r w:rsidRPr="00A57E6B">
        <w:rPr>
          <w:rFonts w:cs="Arial"/>
          <w:i/>
          <w:szCs w:val="24"/>
        </w:rPr>
        <w:t xml:space="preserve">inclusion </w:t>
      </w:r>
      <w:r w:rsidRPr="00A57E6B">
        <w:rPr>
          <w:rFonts w:cs="Arial"/>
          <w:szCs w:val="24"/>
        </w:rPr>
        <w:t xml:space="preserve">as it is often difficult to translate the rhetoric into practice. </w:t>
      </w:r>
      <w:r>
        <w:rPr>
          <w:rFonts w:cs="Arial"/>
          <w:szCs w:val="24"/>
        </w:rPr>
        <w:t>Forman (2008) and Petriwskyj</w:t>
      </w:r>
      <w:r w:rsidRPr="00A57E6B">
        <w:rPr>
          <w:rFonts w:cs="Arial"/>
          <w:szCs w:val="24"/>
        </w:rPr>
        <w:t xml:space="preserve"> </w:t>
      </w:r>
      <w:r>
        <w:rPr>
          <w:rFonts w:cs="Arial"/>
          <w:szCs w:val="24"/>
        </w:rPr>
        <w:t>(</w:t>
      </w:r>
      <w:r w:rsidRPr="00A57E6B">
        <w:rPr>
          <w:rFonts w:cs="Arial"/>
          <w:szCs w:val="24"/>
        </w:rPr>
        <w:t>2010</w:t>
      </w:r>
      <w:r>
        <w:rPr>
          <w:rFonts w:cs="Arial"/>
          <w:szCs w:val="24"/>
        </w:rPr>
        <w:t>) argue that i</w:t>
      </w:r>
      <w:r w:rsidRPr="00A57E6B">
        <w:rPr>
          <w:rFonts w:cs="Arial"/>
          <w:szCs w:val="24"/>
        </w:rPr>
        <w:t>nclusion is underpinned by the idea that every child can learn and develop and has a right to care and education. Inclusion recognises that the environment presents barriers to participation, access and learning opportunities and aims to reduce these obstacles. Inclusion recognises a child’s right to be a valued and active member of their community</w:t>
      </w:r>
      <w:r w:rsidR="001F5898">
        <w:rPr>
          <w:rFonts w:cs="Arial"/>
          <w:szCs w:val="24"/>
        </w:rPr>
        <w:t>,</w:t>
      </w:r>
      <w:r w:rsidRPr="00A57E6B">
        <w:rPr>
          <w:rFonts w:cs="Arial"/>
          <w:szCs w:val="24"/>
        </w:rPr>
        <w:t xml:space="preserve"> meaning that they should have the option to enrol in mainstream settings and engage in age appropriate learning (Fo</w:t>
      </w:r>
      <w:r>
        <w:rPr>
          <w:rFonts w:cs="Arial"/>
          <w:szCs w:val="24"/>
        </w:rPr>
        <w:t>rman, 2008; Petriwskyj, 2010). Gunn et al</w:t>
      </w:r>
      <w:r w:rsidR="00BF0687">
        <w:rPr>
          <w:rFonts w:cs="Arial"/>
          <w:szCs w:val="24"/>
        </w:rPr>
        <w:t>.</w:t>
      </w:r>
      <w:r>
        <w:rPr>
          <w:rFonts w:cs="Arial"/>
          <w:szCs w:val="24"/>
        </w:rPr>
        <w:t xml:space="preserve"> (2004) advise that inclusion recognises individual needs as well as celebrating difference. </w:t>
      </w:r>
    </w:p>
    <w:p w:rsidR="002E17D1" w:rsidRDefault="002E17D1" w:rsidP="002E17D1">
      <w:pPr>
        <w:rPr>
          <w:rFonts w:cs="Arial"/>
          <w:szCs w:val="24"/>
        </w:rPr>
      </w:pPr>
      <w:r w:rsidRPr="00A57E6B">
        <w:rPr>
          <w:rFonts w:cs="Arial"/>
          <w:szCs w:val="24"/>
        </w:rPr>
        <w:t xml:space="preserve">Inclusion has benefits for </w:t>
      </w:r>
      <w:r w:rsidR="001F5898">
        <w:rPr>
          <w:rFonts w:cs="Arial"/>
          <w:szCs w:val="24"/>
        </w:rPr>
        <w:t>all children</w:t>
      </w:r>
      <w:r>
        <w:rPr>
          <w:rFonts w:cs="Arial"/>
          <w:szCs w:val="24"/>
        </w:rPr>
        <w:t>. Children with disabilities or developmental delays</w:t>
      </w:r>
      <w:r w:rsidRPr="00A57E6B">
        <w:rPr>
          <w:rFonts w:cs="Arial"/>
          <w:szCs w:val="24"/>
        </w:rPr>
        <w:t xml:space="preserve"> show gains in their social interactions, play and peer </w:t>
      </w:r>
      <w:r w:rsidRPr="00A57E6B">
        <w:rPr>
          <w:rFonts w:cs="Arial"/>
          <w:szCs w:val="24"/>
        </w:rPr>
        <w:lastRenderedPageBreak/>
        <w:t>engagement while</w:t>
      </w:r>
      <w:r>
        <w:rPr>
          <w:rFonts w:cs="Arial"/>
          <w:szCs w:val="24"/>
        </w:rPr>
        <w:t xml:space="preserve"> </w:t>
      </w:r>
      <w:r w:rsidR="001F5898">
        <w:rPr>
          <w:rFonts w:cs="Arial"/>
          <w:szCs w:val="24"/>
        </w:rPr>
        <w:t xml:space="preserve">other </w:t>
      </w:r>
      <w:r>
        <w:rPr>
          <w:rFonts w:cs="Arial"/>
          <w:szCs w:val="24"/>
        </w:rPr>
        <w:t xml:space="preserve">children </w:t>
      </w:r>
      <w:r w:rsidRPr="00A57E6B">
        <w:rPr>
          <w:rFonts w:cs="Arial"/>
          <w:szCs w:val="24"/>
        </w:rPr>
        <w:t>respond more respectfully to diversi</w:t>
      </w:r>
      <w:r>
        <w:rPr>
          <w:rFonts w:cs="Arial"/>
          <w:szCs w:val="24"/>
        </w:rPr>
        <w:t>ty and</w:t>
      </w:r>
      <w:r w:rsidRPr="00A57E6B">
        <w:rPr>
          <w:rFonts w:cs="Arial"/>
          <w:szCs w:val="24"/>
        </w:rPr>
        <w:t xml:space="preserve"> better understand hu</w:t>
      </w:r>
      <w:r>
        <w:rPr>
          <w:rFonts w:cs="Arial"/>
          <w:szCs w:val="24"/>
        </w:rPr>
        <w:t>man needs (Wong and Cumming, 2010;</w:t>
      </w:r>
      <w:r w:rsidRPr="00A57E6B">
        <w:rPr>
          <w:rFonts w:cs="Arial"/>
          <w:szCs w:val="24"/>
        </w:rPr>
        <w:t xml:space="preserve"> Forman, 2008). </w:t>
      </w:r>
    </w:p>
    <w:p w:rsidR="005852E8" w:rsidRDefault="002E17D1" w:rsidP="002E17D1">
      <w:pPr>
        <w:rPr>
          <w:rFonts w:cs="Arial"/>
          <w:szCs w:val="24"/>
        </w:rPr>
      </w:pPr>
      <w:r w:rsidRPr="00A57E6B">
        <w:rPr>
          <w:rFonts w:cs="Arial"/>
          <w:szCs w:val="24"/>
        </w:rPr>
        <w:t>It is</w:t>
      </w:r>
      <w:r w:rsidR="001F5898">
        <w:rPr>
          <w:rFonts w:cs="Arial"/>
          <w:szCs w:val="24"/>
        </w:rPr>
        <w:t>,</w:t>
      </w:r>
      <w:r w:rsidRPr="00A57E6B">
        <w:rPr>
          <w:rFonts w:cs="Arial"/>
          <w:szCs w:val="24"/>
        </w:rPr>
        <w:t xml:space="preserve"> however, important to understand that enrolling a child into a mainstream setting does not necessarily equate to inclusive practice. In a study of the everyday experiences of mothers of children with additional needs in NSW, many mothers reported barriers to inclusion. They advised that many centres would not accept their enrolments, that staff did not understand their child and were not responding appropriately to their child’s needs. Many mothers were the sole providers of information about their child’s needs and wished that staff were given time to attend training (Grace, Llewellyn, Wedgwood, Fenech </w:t>
      </w:r>
      <w:r>
        <w:rPr>
          <w:rFonts w:cs="Arial"/>
          <w:szCs w:val="24"/>
        </w:rPr>
        <w:t>and</w:t>
      </w:r>
      <w:r w:rsidRPr="00A57E6B">
        <w:rPr>
          <w:rFonts w:cs="Arial"/>
          <w:szCs w:val="24"/>
        </w:rPr>
        <w:t xml:space="preserve"> McConnell, 2008). Some parents also reported having conditions placed on their child’s enrolment </w:t>
      </w:r>
      <w:r w:rsidR="001F5898">
        <w:rPr>
          <w:rFonts w:cs="Arial"/>
          <w:szCs w:val="24"/>
        </w:rPr>
        <w:t>which resulted in their child’s</w:t>
      </w:r>
      <w:r w:rsidRPr="00A57E6B">
        <w:rPr>
          <w:rFonts w:cs="Arial"/>
          <w:szCs w:val="24"/>
        </w:rPr>
        <w:t xml:space="preserve"> exclu</w:t>
      </w:r>
      <w:r w:rsidR="001F5898">
        <w:rPr>
          <w:rFonts w:cs="Arial"/>
          <w:szCs w:val="24"/>
        </w:rPr>
        <w:t>sion</w:t>
      </w:r>
      <w:r w:rsidRPr="00A57E6B">
        <w:rPr>
          <w:rFonts w:cs="Arial"/>
          <w:szCs w:val="24"/>
        </w:rPr>
        <w:t xml:space="preserve"> from some activities or parents </w:t>
      </w:r>
      <w:r w:rsidR="001F5898">
        <w:rPr>
          <w:rFonts w:cs="Arial"/>
          <w:szCs w:val="24"/>
        </w:rPr>
        <w:t>being</w:t>
      </w:r>
      <w:r w:rsidR="001F5898" w:rsidRPr="00A57E6B">
        <w:rPr>
          <w:rFonts w:cs="Arial"/>
          <w:szCs w:val="24"/>
        </w:rPr>
        <w:t xml:space="preserve"> </w:t>
      </w:r>
      <w:r w:rsidRPr="00A57E6B">
        <w:rPr>
          <w:rFonts w:cs="Arial"/>
          <w:szCs w:val="24"/>
        </w:rPr>
        <w:t xml:space="preserve">expected to provide additional assistance because their child had been given a place (Gunn, Child, Madden, Purdue, Surtees, Thurlow </w:t>
      </w:r>
      <w:r>
        <w:rPr>
          <w:rFonts w:cs="Arial"/>
          <w:szCs w:val="24"/>
        </w:rPr>
        <w:t>and</w:t>
      </w:r>
      <w:r w:rsidRPr="00A57E6B">
        <w:rPr>
          <w:rFonts w:cs="Arial"/>
          <w:szCs w:val="24"/>
        </w:rPr>
        <w:t xml:space="preserve"> Todd, 2004; Grace </w:t>
      </w:r>
      <w:r w:rsidR="00BF0687">
        <w:rPr>
          <w:rFonts w:cs="Arial"/>
          <w:szCs w:val="24"/>
        </w:rPr>
        <w:t>et al.</w:t>
      </w:r>
      <w:r w:rsidRPr="00A57E6B">
        <w:rPr>
          <w:rFonts w:cs="Arial"/>
          <w:szCs w:val="24"/>
        </w:rPr>
        <w:t xml:space="preserve">, 2008). </w:t>
      </w:r>
      <w:r>
        <w:rPr>
          <w:rFonts w:cs="Arial"/>
          <w:szCs w:val="24"/>
        </w:rPr>
        <w:t xml:space="preserve">Families and children treated in this way are denied their basic human rights to equality and respect. </w:t>
      </w:r>
    </w:p>
    <w:p w:rsidR="002E17D1" w:rsidRDefault="002E17D1" w:rsidP="002E17D1">
      <w:pPr>
        <w:rPr>
          <w:rFonts w:cs="Arial"/>
          <w:szCs w:val="24"/>
        </w:rPr>
      </w:pPr>
      <w:r>
        <w:rPr>
          <w:rFonts w:cs="Arial"/>
          <w:szCs w:val="24"/>
        </w:rPr>
        <w:t xml:space="preserve">The Equal Opportunity Act, 2010 in Victoria states that it is illegal to discriminate against a person based on disability. </w:t>
      </w:r>
      <w:r w:rsidR="00BF0687">
        <w:rPr>
          <w:rFonts w:cs="Arial"/>
          <w:szCs w:val="24"/>
        </w:rPr>
        <w:t>All children, including children with a disability or developmental delay, have the right to education and care that is free from discrimination (</w:t>
      </w:r>
      <w:r w:rsidR="00BF0687">
        <w:rPr>
          <w:rFonts w:eastAsia="Times New Roman" w:cs="Arial"/>
          <w:szCs w:val="24"/>
          <w:lang w:eastAsia="en-AU"/>
        </w:rPr>
        <w:t>Victorian Equal Opportunity and Human Rights Commission, 2008, Victorian Equal Opportunity and Human Rights Commission, 2011)</w:t>
      </w:r>
      <w:r w:rsidR="00BF0687">
        <w:rPr>
          <w:rFonts w:cs="Arial"/>
          <w:szCs w:val="24"/>
        </w:rPr>
        <w:t>.</w:t>
      </w:r>
    </w:p>
    <w:p w:rsidR="002E17D1" w:rsidRDefault="002E17D1" w:rsidP="002E17D1">
      <w:pPr>
        <w:rPr>
          <w:rFonts w:cs="Arial"/>
          <w:szCs w:val="24"/>
        </w:rPr>
      </w:pPr>
      <w:r>
        <w:rPr>
          <w:rFonts w:cs="Arial"/>
          <w:szCs w:val="24"/>
        </w:rPr>
        <w:t>Early childhood</w:t>
      </w:r>
      <w:r w:rsidRPr="00A57E6B">
        <w:rPr>
          <w:rFonts w:cs="Arial"/>
          <w:szCs w:val="24"/>
        </w:rPr>
        <w:t xml:space="preserve"> professionals also reported structural barriers to inclusion including inadequate child-staff ratios, lack of training and an inability to access funding to support inclusion (Llewellyn, Thompson </w:t>
      </w:r>
      <w:r>
        <w:rPr>
          <w:rFonts w:cs="Arial"/>
          <w:szCs w:val="24"/>
        </w:rPr>
        <w:t>and</w:t>
      </w:r>
      <w:r w:rsidRPr="00A57E6B">
        <w:rPr>
          <w:rFonts w:cs="Arial"/>
          <w:szCs w:val="24"/>
        </w:rPr>
        <w:t xml:space="preserve"> Fante, 2002; Mohay </w:t>
      </w:r>
      <w:r>
        <w:rPr>
          <w:rFonts w:cs="Arial"/>
          <w:szCs w:val="24"/>
        </w:rPr>
        <w:t>and</w:t>
      </w:r>
      <w:r w:rsidRPr="00A57E6B">
        <w:rPr>
          <w:rFonts w:cs="Arial"/>
          <w:szCs w:val="24"/>
        </w:rPr>
        <w:t xml:space="preserve"> Reid, 2006; Grace </w:t>
      </w:r>
      <w:r w:rsidR="00BF0687">
        <w:rPr>
          <w:rFonts w:cs="Arial"/>
          <w:szCs w:val="24"/>
        </w:rPr>
        <w:t>et al.</w:t>
      </w:r>
      <w:r w:rsidRPr="00A57E6B">
        <w:rPr>
          <w:rFonts w:cs="Arial"/>
          <w:szCs w:val="24"/>
        </w:rPr>
        <w:t xml:space="preserve">, 2008). </w:t>
      </w:r>
      <w:r w:rsidR="001F5898">
        <w:rPr>
          <w:rFonts w:cs="Arial"/>
          <w:szCs w:val="24"/>
        </w:rPr>
        <w:t>R</w:t>
      </w:r>
      <w:r w:rsidRPr="00A57E6B">
        <w:rPr>
          <w:rFonts w:cs="Arial"/>
          <w:szCs w:val="24"/>
        </w:rPr>
        <w:t xml:space="preserve">esearch demonstrates that in order for inclusion to effectively support </w:t>
      </w:r>
      <w:r w:rsidRPr="00EB4A01">
        <w:rPr>
          <w:rFonts w:cs="Arial"/>
          <w:szCs w:val="24"/>
        </w:rPr>
        <w:t>diverse learners</w:t>
      </w:r>
      <w:r w:rsidRPr="00A57E6B">
        <w:rPr>
          <w:rFonts w:cs="Arial"/>
          <w:szCs w:val="24"/>
        </w:rPr>
        <w:t xml:space="preserve"> it must be an active process that is supported through funding, training, relationships with families and reflection</w:t>
      </w:r>
      <w:r w:rsidR="001F5898">
        <w:rPr>
          <w:rFonts w:cs="Arial"/>
          <w:szCs w:val="24"/>
        </w:rPr>
        <w:t>.</w:t>
      </w:r>
      <w:r w:rsidRPr="00A57E6B">
        <w:rPr>
          <w:rFonts w:cs="Arial"/>
          <w:szCs w:val="24"/>
        </w:rPr>
        <w:t xml:space="preserve"> </w:t>
      </w:r>
      <w:r w:rsidR="001F5898">
        <w:rPr>
          <w:rFonts w:cs="Arial"/>
          <w:szCs w:val="24"/>
        </w:rPr>
        <w:t>Inclusive practice</w:t>
      </w:r>
      <w:r w:rsidRPr="00A57E6B">
        <w:rPr>
          <w:rFonts w:cs="Arial"/>
          <w:szCs w:val="24"/>
        </w:rPr>
        <w:t xml:space="preserve"> recognises difference rather than employing a one size fits all approach (Petriwskyj, 2010). Research </w:t>
      </w:r>
      <w:r w:rsidR="001F5898">
        <w:rPr>
          <w:rFonts w:cs="Arial"/>
          <w:szCs w:val="24"/>
        </w:rPr>
        <w:t xml:space="preserve">also </w:t>
      </w:r>
      <w:r w:rsidRPr="00A57E6B">
        <w:rPr>
          <w:rFonts w:cs="Arial"/>
          <w:szCs w:val="24"/>
        </w:rPr>
        <w:t xml:space="preserve">demonstrates that partnerships </w:t>
      </w:r>
      <w:r w:rsidR="001F5898">
        <w:rPr>
          <w:rFonts w:cs="Arial"/>
          <w:szCs w:val="24"/>
        </w:rPr>
        <w:t>between</w:t>
      </w:r>
      <w:r w:rsidRPr="00A57E6B">
        <w:rPr>
          <w:rFonts w:cs="Arial"/>
          <w:szCs w:val="24"/>
        </w:rPr>
        <w:t xml:space="preserve"> professionals can support </w:t>
      </w:r>
      <w:r w:rsidRPr="00EB4A01">
        <w:rPr>
          <w:rFonts w:cs="Arial"/>
          <w:szCs w:val="24"/>
        </w:rPr>
        <w:t>diverse learners’</w:t>
      </w:r>
      <w:r w:rsidRPr="00A57E6B">
        <w:rPr>
          <w:rFonts w:cs="Arial"/>
          <w:szCs w:val="24"/>
        </w:rPr>
        <w:t xml:space="preserve"> outcomes by </w:t>
      </w:r>
      <w:r w:rsidR="001F5898">
        <w:rPr>
          <w:rFonts w:cs="Arial"/>
          <w:szCs w:val="24"/>
        </w:rPr>
        <w:t>allowing professionals with diverse expertise to share strategies and knowledge</w:t>
      </w:r>
      <w:r w:rsidR="001F5898" w:rsidRPr="00A57E6B">
        <w:rPr>
          <w:rFonts w:cs="Arial"/>
          <w:szCs w:val="24"/>
        </w:rPr>
        <w:t xml:space="preserve"> </w:t>
      </w:r>
      <w:r w:rsidR="00820085">
        <w:rPr>
          <w:rFonts w:cs="Arial"/>
          <w:szCs w:val="24"/>
        </w:rPr>
        <w:t>(</w:t>
      </w:r>
      <w:r w:rsidRPr="00A57E6B">
        <w:rPr>
          <w:rFonts w:cs="Arial"/>
          <w:szCs w:val="24"/>
        </w:rPr>
        <w:t>Bagnato, B</w:t>
      </w:r>
      <w:r>
        <w:rPr>
          <w:rFonts w:cs="Arial"/>
          <w:szCs w:val="24"/>
        </w:rPr>
        <w:t>lair, Slater, McNally, Mathews and</w:t>
      </w:r>
      <w:r w:rsidRPr="00A57E6B">
        <w:rPr>
          <w:rFonts w:cs="Arial"/>
          <w:szCs w:val="24"/>
        </w:rPr>
        <w:t xml:space="preserve"> Minzenberg, 2004). </w:t>
      </w:r>
    </w:p>
    <w:p w:rsidR="002E17D1" w:rsidRPr="00A57E6B" w:rsidRDefault="002E17D1" w:rsidP="002E17D1">
      <w:pPr>
        <w:rPr>
          <w:rFonts w:cs="Arial"/>
          <w:szCs w:val="24"/>
        </w:rPr>
      </w:pPr>
      <w:r w:rsidRPr="00A57E6B">
        <w:rPr>
          <w:rFonts w:cs="Arial"/>
          <w:szCs w:val="24"/>
        </w:rPr>
        <w:t xml:space="preserve">A key factor in equity and diversity is having high expectations for every child. Children’s </w:t>
      </w:r>
      <w:r>
        <w:rPr>
          <w:rFonts w:cs="Arial"/>
          <w:szCs w:val="24"/>
        </w:rPr>
        <w:t>self-</w:t>
      </w:r>
      <w:r w:rsidRPr="00A57E6B">
        <w:rPr>
          <w:rFonts w:cs="Arial"/>
          <w:szCs w:val="24"/>
        </w:rPr>
        <w:t xml:space="preserve">esteem and motivation </w:t>
      </w:r>
      <w:r w:rsidR="001F5898">
        <w:rPr>
          <w:rFonts w:cs="Arial"/>
          <w:szCs w:val="24"/>
        </w:rPr>
        <w:t xml:space="preserve">to achieve </w:t>
      </w:r>
      <w:r w:rsidRPr="00A57E6B">
        <w:rPr>
          <w:rFonts w:cs="Arial"/>
          <w:szCs w:val="24"/>
        </w:rPr>
        <w:t xml:space="preserve">is linked to </w:t>
      </w:r>
      <w:r w:rsidR="001F5898">
        <w:rPr>
          <w:rFonts w:cs="Arial"/>
          <w:szCs w:val="24"/>
        </w:rPr>
        <w:t>early childhood professionals</w:t>
      </w:r>
      <w:r w:rsidR="001F5898" w:rsidRPr="00A57E6B">
        <w:rPr>
          <w:rFonts w:cs="Arial"/>
          <w:szCs w:val="24"/>
        </w:rPr>
        <w:t xml:space="preserve"> </w:t>
      </w:r>
      <w:r w:rsidRPr="00A57E6B">
        <w:rPr>
          <w:rFonts w:cs="Arial"/>
          <w:szCs w:val="24"/>
        </w:rPr>
        <w:t>having high expectations and communicating these to every child (</w:t>
      </w:r>
      <w:r w:rsidRPr="00A57E6B">
        <w:rPr>
          <w:szCs w:val="24"/>
        </w:rPr>
        <w:t>Rubie-Davis, 2006; Berzin, 2010)</w:t>
      </w:r>
      <w:r w:rsidRPr="00A57E6B">
        <w:rPr>
          <w:rFonts w:cs="Arial"/>
          <w:szCs w:val="24"/>
        </w:rPr>
        <w:t xml:space="preserve">. This means that </w:t>
      </w:r>
      <w:r w:rsidR="001F5898">
        <w:rPr>
          <w:rFonts w:cs="Arial"/>
          <w:szCs w:val="24"/>
        </w:rPr>
        <w:t>early childhood professionals</w:t>
      </w:r>
      <w:r w:rsidR="001F5898" w:rsidRPr="00A57E6B">
        <w:rPr>
          <w:rFonts w:cs="Arial"/>
          <w:szCs w:val="24"/>
        </w:rPr>
        <w:t xml:space="preserve"> </w:t>
      </w:r>
      <w:r w:rsidRPr="00A57E6B">
        <w:rPr>
          <w:rFonts w:cs="Arial"/>
          <w:szCs w:val="24"/>
        </w:rPr>
        <w:t xml:space="preserve">recognise that some children may need additional or specialised support to reach their full potential. </w:t>
      </w:r>
      <w:r w:rsidR="00BF0687" w:rsidRPr="00A57E6B">
        <w:rPr>
          <w:rFonts w:cs="Arial"/>
          <w:szCs w:val="24"/>
        </w:rPr>
        <w:t xml:space="preserve">Professionals promote inclusion and diversity by enabling each child to experience success and be engaged in challenging, age </w:t>
      </w:r>
      <w:r w:rsidR="00BF0687" w:rsidRPr="00A57E6B">
        <w:rPr>
          <w:rFonts w:cs="Arial"/>
          <w:szCs w:val="24"/>
        </w:rPr>
        <w:lastRenderedPageBreak/>
        <w:t>a</w:t>
      </w:r>
      <w:r w:rsidR="00BF0687">
        <w:rPr>
          <w:rFonts w:cs="Arial"/>
          <w:szCs w:val="24"/>
        </w:rPr>
        <w:t xml:space="preserve">ppropriate learning experiences. </w:t>
      </w:r>
      <w:r>
        <w:rPr>
          <w:rFonts w:cs="Arial"/>
          <w:szCs w:val="24"/>
        </w:rPr>
        <w:t>T</w:t>
      </w:r>
      <w:r w:rsidRPr="00A57E6B">
        <w:rPr>
          <w:rFonts w:cs="Arial"/>
          <w:szCs w:val="24"/>
        </w:rPr>
        <w:t xml:space="preserve">his may involve </w:t>
      </w:r>
      <w:r w:rsidR="001F5898">
        <w:rPr>
          <w:rFonts w:cs="Arial"/>
          <w:szCs w:val="24"/>
        </w:rPr>
        <w:t xml:space="preserve">providing </w:t>
      </w:r>
      <w:r w:rsidRPr="00A57E6B">
        <w:rPr>
          <w:rFonts w:cs="Arial"/>
          <w:szCs w:val="24"/>
        </w:rPr>
        <w:t xml:space="preserve">different learning </w:t>
      </w:r>
      <w:r w:rsidR="001F5898">
        <w:rPr>
          <w:rFonts w:cs="Arial"/>
          <w:szCs w:val="24"/>
        </w:rPr>
        <w:t xml:space="preserve">experiences </w:t>
      </w:r>
      <w:r w:rsidRPr="00A57E6B">
        <w:rPr>
          <w:rFonts w:cs="Arial"/>
          <w:szCs w:val="24"/>
        </w:rPr>
        <w:t xml:space="preserve">for </w:t>
      </w:r>
      <w:r w:rsidR="001F5898">
        <w:rPr>
          <w:rFonts w:cs="Arial"/>
          <w:szCs w:val="24"/>
        </w:rPr>
        <w:t>each child</w:t>
      </w:r>
      <w:r w:rsidRPr="00A57E6B">
        <w:rPr>
          <w:rFonts w:cs="Arial"/>
          <w:szCs w:val="24"/>
        </w:rPr>
        <w:t xml:space="preserve"> (</w:t>
      </w:r>
      <w:r w:rsidRPr="00A57E6B">
        <w:rPr>
          <w:szCs w:val="24"/>
        </w:rPr>
        <w:t xml:space="preserve">Broderick, Mehta-Parekh </w:t>
      </w:r>
      <w:r>
        <w:rPr>
          <w:szCs w:val="24"/>
        </w:rPr>
        <w:t>and</w:t>
      </w:r>
      <w:r w:rsidRPr="00A57E6B">
        <w:rPr>
          <w:szCs w:val="24"/>
        </w:rPr>
        <w:t xml:space="preserve"> Reid, 2005). </w:t>
      </w:r>
      <w:r w:rsidR="001F5898">
        <w:rPr>
          <w:szCs w:val="24"/>
        </w:rPr>
        <w:t xml:space="preserve"> </w:t>
      </w:r>
    </w:p>
    <w:p w:rsidR="002E17D1" w:rsidRPr="00A57E6B" w:rsidRDefault="002E17D1" w:rsidP="002E17D1">
      <w:pPr>
        <w:rPr>
          <w:rFonts w:cs="Arial"/>
          <w:szCs w:val="24"/>
        </w:rPr>
      </w:pPr>
      <w:r w:rsidRPr="00A57E6B">
        <w:rPr>
          <w:rFonts w:cs="Arial"/>
          <w:szCs w:val="24"/>
        </w:rPr>
        <w:t xml:space="preserve">Children who </w:t>
      </w:r>
      <w:r w:rsidR="001F5898">
        <w:rPr>
          <w:rFonts w:cs="Arial"/>
          <w:szCs w:val="24"/>
        </w:rPr>
        <w:t xml:space="preserve">are </w:t>
      </w:r>
      <w:r w:rsidRPr="00A57E6B">
        <w:rPr>
          <w:rFonts w:cs="Arial"/>
          <w:szCs w:val="24"/>
        </w:rPr>
        <w:t>high</w:t>
      </w:r>
      <w:r w:rsidR="001F5898">
        <w:rPr>
          <w:rFonts w:cs="Arial"/>
          <w:szCs w:val="24"/>
        </w:rPr>
        <w:t>ly</w:t>
      </w:r>
      <w:r w:rsidRPr="00A57E6B">
        <w:rPr>
          <w:rFonts w:cs="Arial"/>
          <w:szCs w:val="24"/>
        </w:rPr>
        <w:t xml:space="preserve"> motivat</w:t>
      </w:r>
      <w:r w:rsidR="001F5898">
        <w:rPr>
          <w:rFonts w:cs="Arial"/>
          <w:szCs w:val="24"/>
        </w:rPr>
        <w:t>ed to achieve</w:t>
      </w:r>
      <w:r w:rsidRPr="00A57E6B">
        <w:rPr>
          <w:rFonts w:cs="Arial"/>
          <w:szCs w:val="24"/>
        </w:rPr>
        <w:t xml:space="preserve">, </w:t>
      </w:r>
      <w:r w:rsidR="001F5898">
        <w:rPr>
          <w:rFonts w:cs="Arial"/>
          <w:szCs w:val="24"/>
        </w:rPr>
        <w:t xml:space="preserve">who are </w:t>
      </w:r>
      <w:r>
        <w:rPr>
          <w:rFonts w:cs="Arial"/>
          <w:szCs w:val="24"/>
        </w:rPr>
        <w:t>resilien</w:t>
      </w:r>
      <w:r w:rsidR="001F5898">
        <w:rPr>
          <w:rFonts w:cs="Arial"/>
          <w:szCs w:val="24"/>
        </w:rPr>
        <w:t>t</w:t>
      </w:r>
      <w:r>
        <w:rPr>
          <w:rFonts w:cs="Arial"/>
          <w:szCs w:val="24"/>
        </w:rPr>
        <w:t xml:space="preserve">, </w:t>
      </w:r>
      <w:r w:rsidR="001F5898">
        <w:rPr>
          <w:rFonts w:cs="Arial"/>
          <w:szCs w:val="24"/>
        </w:rPr>
        <w:t xml:space="preserve">and have high </w:t>
      </w:r>
      <w:r>
        <w:rPr>
          <w:rFonts w:cs="Arial"/>
          <w:szCs w:val="24"/>
        </w:rPr>
        <w:t>self-</w:t>
      </w:r>
      <w:r w:rsidRPr="00A57E6B">
        <w:rPr>
          <w:rFonts w:cs="Arial"/>
          <w:szCs w:val="24"/>
        </w:rPr>
        <w:t xml:space="preserve">esteem and </w:t>
      </w:r>
      <w:r w:rsidR="00820085">
        <w:rPr>
          <w:rFonts w:cs="Arial"/>
          <w:szCs w:val="24"/>
        </w:rPr>
        <w:t xml:space="preserve">a </w:t>
      </w:r>
      <w:r w:rsidRPr="00A57E6B">
        <w:rPr>
          <w:rFonts w:cs="Arial"/>
          <w:szCs w:val="24"/>
        </w:rPr>
        <w:t>sense of agency achieve better academic and social outcomes (</w:t>
      </w:r>
      <w:r w:rsidRPr="00A57E6B">
        <w:rPr>
          <w:szCs w:val="24"/>
        </w:rPr>
        <w:t xml:space="preserve">Ahmed, Minnaert, </w:t>
      </w:r>
      <w:r>
        <w:rPr>
          <w:szCs w:val="24"/>
        </w:rPr>
        <w:t xml:space="preserve">and </w:t>
      </w:r>
      <w:r w:rsidRPr="00A57E6B">
        <w:rPr>
          <w:szCs w:val="24"/>
        </w:rPr>
        <w:t xml:space="preserve">van der Kuyper, 2008; Patrick, Mantzicopoulos, Samarapungavan </w:t>
      </w:r>
      <w:r>
        <w:rPr>
          <w:szCs w:val="24"/>
        </w:rPr>
        <w:t>and</w:t>
      </w:r>
      <w:r w:rsidRPr="00A57E6B">
        <w:rPr>
          <w:szCs w:val="24"/>
        </w:rPr>
        <w:t xml:space="preserve"> French, 2008). Children who have experienced success and positive reinforcement throughout their </w:t>
      </w:r>
      <w:r w:rsidR="001F5898">
        <w:rPr>
          <w:szCs w:val="24"/>
        </w:rPr>
        <w:t>education and care</w:t>
      </w:r>
      <w:r w:rsidR="001F5898" w:rsidRPr="00A57E6B">
        <w:rPr>
          <w:szCs w:val="24"/>
        </w:rPr>
        <w:t xml:space="preserve"> </w:t>
      </w:r>
      <w:r w:rsidRPr="00A57E6B">
        <w:rPr>
          <w:szCs w:val="24"/>
        </w:rPr>
        <w:t xml:space="preserve">are more likely to have a strong sense of agency which will enable them to persist with difficult tasks and put more effort into their learning (Patrick, </w:t>
      </w:r>
      <w:r w:rsidR="00BF0687">
        <w:rPr>
          <w:szCs w:val="24"/>
        </w:rPr>
        <w:t>et al.</w:t>
      </w:r>
      <w:r w:rsidRPr="00A57E6B">
        <w:rPr>
          <w:szCs w:val="24"/>
        </w:rPr>
        <w:t xml:space="preserve">, 2008). In much the same way, </w:t>
      </w:r>
      <w:r w:rsidR="001F5898">
        <w:rPr>
          <w:szCs w:val="24"/>
        </w:rPr>
        <w:t>early childhood professionals</w:t>
      </w:r>
      <w:r w:rsidR="001F5898" w:rsidRPr="00A57E6B">
        <w:rPr>
          <w:szCs w:val="24"/>
        </w:rPr>
        <w:t xml:space="preserve"> </w:t>
      </w:r>
      <w:r w:rsidRPr="00A57E6B">
        <w:rPr>
          <w:szCs w:val="24"/>
        </w:rPr>
        <w:t xml:space="preserve">who have positive attitudes to </w:t>
      </w:r>
      <w:r>
        <w:rPr>
          <w:szCs w:val="24"/>
        </w:rPr>
        <w:t>diversity</w:t>
      </w:r>
      <w:r w:rsidRPr="00A57E6B">
        <w:rPr>
          <w:szCs w:val="24"/>
        </w:rPr>
        <w:t xml:space="preserve"> are more likely to have a strong sense of agency</w:t>
      </w:r>
      <w:r>
        <w:rPr>
          <w:szCs w:val="24"/>
        </w:rPr>
        <w:t xml:space="preserve"> themselves,</w:t>
      </w:r>
      <w:r w:rsidRPr="00A57E6B">
        <w:rPr>
          <w:szCs w:val="24"/>
        </w:rPr>
        <w:t xml:space="preserve"> and to take additional steps to support </w:t>
      </w:r>
      <w:r>
        <w:rPr>
          <w:szCs w:val="24"/>
        </w:rPr>
        <w:t>all children</w:t>
      </w:r>
      <w:r w:rsidRPr="00A57E6B">
        <w:rPr>
          <w:szCs w:val="24"/>
        </w:rPr>
        <w:t xml:space="preserve"> to achieve their goals (Halvorsen, Lee </w:t>
      </w:r>
      <w:r>
        <w:rPr>
          <w:szCs w:val="24"/>
        </w:rPr>
        <w:t>and</w:t>
      </w:r>
      <w:r w:rsidRPr="00A57E6B">
        <w:rPr>
          <w:szCs w:val="24"/>
        </w:rPr>
        <w:t xml:space="preserve"> Andrade, 2009).</w:t>
      </w:r>
    </w:p>
    <w:p w:rsidR="002E17D1" w:rsidRDefault="002E17D1" w:rsidP="002E17D1">
      <w:pPr>
        <w:pStyle w:val="Heading3"/>
      </w:pPr>
    </w:p>
    <w:p w:rsidR="002E17D1" w:rsidRPr="00A57E6B" w:rsidRDefault="002E17D1" w:rsidP="002E17D1">
      <w:pPr>
        <w:pStyle w:val="Heading3"/>
      </w:pPr>
      <w:bookmarkStart w:id="26" w:name="_Toc166906041"/>
      <w:bookmarkStart w:id="27" w:name="_Toc174694422"/>
      <w:r w:rsidRPr="00A57E6B">
        <w:t xml:space="preserve">Children’s learning and development is enhanced when </w:t>
      </w:r>
      <w:r>
        <w:t>early childhood professionals</w:t>
      </w:r>
      <w:r w:rsidRPr="00A57E6B">
        <w:t xml:space="preserve"> recognise the benefits of multilingualism and actively support children’s home languages.</w:t>
      </w:r>
      <w:bookmarkEnd w:id="26"/>
      <w:bookmarkEnd w:id="27"/>
    </w:p>
    <w:p w:rsidR="002E17D1" w:rsidRPr="00A57E6B" w:rsidRDefault="002E17D1" w:rsidP="002E17D1">
      <w:pPr>
        <w:rPr>
          <w:rFonts w:cs="Arial"/>
          <w:szCs w:val="24"/>
        </w:rPr>
      </w:pPr>
      <w:r w:rsidRPr="00A57E6B">
        <w:rPr>
          <w:rFonts w:cs="Arial"/>
          <w:szCs w:val="24"/>
        </w:rPr>
        <w:t>Language is a social construct that connects children to their family, community and culture (Maki</w:t>
      </w:r>
      <w:r>
        <w:rPr>
          <w:rFonts w:cs="Arial"/>
          <w:szCs w:val="24"/>
        </w:rPr>
        <w:t>n, Diaz, and McLachlan, 2002). A c</w:t>
      </w:r>
      <w:r w:rsidRPr="00A57E6B">
        <w:rPr>
          <w:rFonts w:cs="Arial"/>
          <w:szCs w:val="24"/>
        </w:rPr>
        <w:t>hild’s first language is linked to the developme</w:t>
      </w:r>
      <w:r>
        <w:rPr>
          <w:rFonts w:cs="Arial"/>
          <w:szCs w:val="24"/>
        </w:rPr>
        <w:t>nt of positive self-</w:t>
      </w:r>
      <w:r w:rsidRPr="00A57E6B">
        <w:rPr>
          <w:rFonts w:cs="Arial"/>
          <w:szCs w:val="24"/>
        </w:rPr>
        <w:t xml:space="preserve">identity, a sense of belonging to family and cultural groups </w:t>
      </w:r>
      <w:r>
        <w:rPr>
          <w:rFonts w:cs="Arial"/>
          <w:szCs w:val="24"/>
        </w:rPr>
        <w:t>and</w:t>
      </w:r>
      <w:r w:rsidRPr="00A57E6B">
        <w:rPr>
          <w:rFonts w:cs="Arial"/>
          <w:szCs w:val="24"/>
        </w:rPr>
        <w:t xml:space="preserve"> understanding the values of these groups (Rydland </w:t>
      </w:r>
      <w:r>
        <w:rPr>
          <w:rFonts w:cs="Arial"/>
          <w:szCs w:val="24"/>
        </w:rPr>
        <w:t>and</w:t>
      </w:r>
      <w:r w:rsidRPr="00A57E6B">
        <w:rPr>
          <w:rFonts w:cs="Arial"/>
          <w:szCs w:val="24"/>
        </w:rPr>
        <w:t xml:space="preserve"> Aukrust, 2008; Clarke, 2009; Wen-Jui </w:t>
      </w:r>
      <w:r>
        <w:rPr>
          <w:rFonts w:cs="Arial"/>
          <w:szCs w:val="24"/>
        </w:rPr>
        <w:t>and</w:t>
      </w:r>
      <w:r w:rsidRPr="00A57E6B">
        <w:rPr>
          <w:rFonts w:cs="Arial"/>
          <w:szCs w:val="24"/>
        </w:rPr>
        <w:t xml:space="preserve"> Chien-Chung, 2010). Research shows that bi</w:t>
      </w:r>
      <w:r>
        <w:rPr>
          <w:rFonts w:cs="Arial"/>
          <w:szCs w:val="24"/>
        </w:rPr>
        <w:t>lingualism</w:t>
      </w:r>
      <w:r w:rsidRPr="00A57E6B">
        <w:rPr>
          <w:rFonts w:cs="Arial"/>
          <w:szCs w:val="24"/>
        </w:rPr>
        <w:t xml:space="preserve"> and multilingualism have benefits for children’s academic success, their motivation</w:t>
      </w:r>
      <w:r w:rsidR="001F5898">
        <w:rPr>
          <w:rFonts w:cs="Arial"/>
          <w:szCs w:val="24"/>
        </w:rPr>
        <w:t xml:space="preserve"> to achieve</w:t>
      </w:r>
      <w:r w:rsidRPr="00A57E6B">
        <w:rPr>
          <w:rFonts w:cs="Arial"/>
          <w:szCs w:val="24"/>
        </w:rPr>
        <w:t xml:space="preserve">, their connection to their family and community and their wellbeing (Wen-Jui </w:t>
      </w:r>
      <w:r>
        <w:rPr>
          <w:rFonts w:cs="Arial"/>
          <w:szCs w:val="24"/>
        </w:rPr>
        <w:t>and</w:t>
      </w:r>
      <w:r w:rsidRPr="00A57E6B">
        <w:rPr>
          <w:rFonts w:cs="Arial"/>
          <w:szCs w:val="24"/>
        </w:rPr>
        <w:t xml:space="preserve"> Chien-Chung, 2010; Clarke, 2009). </w:t>
      </w:r>
      <w:r>
        <w:rPr>
          <w:rFonts w:cs="Arial"/>
          <w:szCs w:val="24"/>
        </w:rPr>
        <w:t>Con</w:t>
      </w:r>
      <w:r w:rsidRPr="00A57E6B">
        <w:rPr>
          <w:rFonts w:cs="Arial"/>
          <w:szCs w:val="24"/>
        </w:rPr>
        <w:t xml:space="preserve">versely when children experience a loss or break in their first language they can find it difficult to connect with their cultural heritage and family values without the use of their first language. This can lead to children feeling excluded from family or community groups and experiencing a </w:t>
      </w:r>
      <w:r>
        <w:rPr>
          <w:rFonts w:cs="Arial"/>
          <w:szCs w:val="24"/>
        </w:rPr>
        <w:t>lack of connection</w:t>
      </w:r>
      <w:r w:rsidRPr="00A57E6B">
        <w:rPr>
          <w:rFonts w:cs="Arial"/>
          <w:szCs w:val="24"/>
        </w:rPr>
        <w:t xml:space="preserve"> between their first and second </w:t>
      </w:r>
      <w:r w:rsidR="001F5898">
        <w:rPr>
          <w:rFonts w:cs="Arial"/>
          <w:szCs w:val="24"/>
        </w:rPr>
        <w:t xml:space="preserve">(or additional) </w:t>
      </w:r>
      <w:r w:rsidRPr="00A57E6B">
        <w:rPr>
          <w:rFonts w:cs="Arial"/>
          <w:szCs w:val="24"/>
        </w:rPr>
        <w:t xml:space="preserve">language (Yazici, Itler </w:t>
      </w:r>
      <w:r>
        <w:rPr>
          <w:rFonts w:cs="Arial"/>
          <w:szCs w:val="24"/>
        </w:rPr>
        <w:t>and</w:t>
      </w:r>
      <w:r w:rsidRPr="00A57E6B">
        <w:rPr>
          <w:rFonts w:cs="Arial"/>
          <w:szCs w:val="24"/>
        </w:rPr>
        <w:t xml:space="preserve"> Glover, 2010).  In a study by Wen-Jui </w:t>
      </w:r>
      <w:r>
        <w:rPr>
          <w:rFonts w:cs="Arial"/>
          <w:szCs w:val="24"/>
        </w:rPr>
        <w:t>and</w:t>
      </w:r>
      <w:r w:rsidRPr="00A57E6B">
        <w:rPr>
          <w:rFonts w:cs="Arial"/>
          <w:szCs w:val="24"/>
        </w:rPr>
        <w:t xml:space="preserve"> Chien-Chung (2010) bilingual children benefit</w:t>
      </w:r>
      <w:r w:rsidR="001F5898">
        <w:rPr>
          <w:rFonts w:cs="Arial"/>
          <w:szCs w:val="24"/>
        </w:rPr>
        <w:t>ted</w:t>
      </w:r>
      <w:r w:rsidRPr="00A57E6B">
        <w:rPr>
          <w:rFonts w:cs="Arial"/>
          <w:szCs w:val="24"/>
        </w:rPr>
        <w:t xml:space="preserve"> from the cultural resources of their families and communities as well as </w:t>
      </w:r>
      <w:r w:rsidR="001F5898">
        <w:rPr>
          <w:rFonts w:cs="Arial"/>
          <w:szCs w:val="24"/>
        </w:rPr>
        <w:t xml:space="preserve">from </w:t>
      </w:r>
      <w:r w:rsidRPr="00A57E6B">
        <w:rPr>
          <w:rFonts w:cs="Arial"/>
          <w:szCs w:val="24"/>
        </w:rPr>
        <w:t>strengthen</w:t>
      </w:r>
      <w:r w:rsidR="001F5898">
        <w:rPr>
          <w:rFonts w:cs="Arial"/>
          <w:szCs w:val="24"/>
        </w:rPr>
        <w:t>ed</w:t>
      </w:r>
      <w:r w:rsidRPr="00A57E6B">
        <w:rPr>
          <w:rFonts w:cs="Arial"/>
          <w:szCs w:val="24"/>
        </w:rPr>
        <w:t xml:space="preserve"> relationships with their parents which affected their behavioural and emotional wellbeing. </w:t>
      </w:r>
    </w:p>
    <w:p w:rsidR="002E17D1" w:rsidRPr="00A57E6B" w:rsidRDefault="002E17D1" w:rsidP="002E17D1">
      <w:pPr>
        <w:rPr>
          <w:rFonts w:cs="Arial"/>
          <w:szCs w:val="24"/>
        </w:rPr>
      </w:pPr>
      <w:r>
        <w:rPr>
          <w:rFonts w:cs="Arial"/>
          <w:szCs w:val="24"/>
        </w:rPr>
        <w:t xml:space="preserve">Language is inextricably linked to all the five outcomes in the </w:t>
      </w:r>
      <w:r w:rsidR="00F00DF5">
        <w:rPr>
          <w:rFonts w:cs="Arial"/>
          <w:szCs w:val="24"/>
        </w:rPr>
        <w:t>Victorian Framework</w:t>
      </w:r>
      <w:r>
        <w:rPr>
          <w:rFonts w:cs="Arial"/>
          <w:szCs w:val="24"/>
        </w:rPr>
        <w:t xml:space="preserve">. Language plays a major role in identity development, it facilitates belonging and connection with a community, it </w:t>
      </w:r>
      <w:r w:rsidR="00F00DF5">
        <w:rPr>
          <w:rFonts w:cs="Arial"/>
          <w:szCs w:val="24"/>
        </w:rPr>
        <w:t>a</w:t>
      </w:r>
      <w:r>
        <w:rPr>
          <w:rFonts w:cs="Arial"/>
          <w:szCs w:val="24"/>
        </w:rPr>
        <w:t>ffects social development and wellbeing as well as enabling children to think and communicate (Clarke, 2009,). A c</w:t>
      </w:r>
      <w:r w:rsidRPr="00A57E6B">
        <w:rPr>
          <w:rFonts w:cs="Arial"/>
          <w:szCs w:val="24"/>
        </w:rPr>
        <w:t>hild’s f</w:t>
      </w:r>
      <w:r>
        <w:rPr>
          <w:rFonts w:cs="Arial"/>
          <w:szCs w:val="24"/>
        </w:rPr>
        <w:t>irst language is linked to her or his</w:t>
      </w:r>
      <w:r w:rsidRPr="00A57E6B">
        <w:rPr>
          <w:rFonts w:cs="Arial"/>
          <w:szCs w:val="24"/>
        </w:rPr>
        <w:t xml:space="preserve"> feelings of power and equality. </w:t>
      </w:r>
      <w:r w:rsidRPr="00A57E6B">
        <w:rPr>
          <w:rFonts w:cs="Arial"/>
          <w:szCs w:val="24"/>
        </w:rPr>
        <w:lastRenderedPageBreak/>
        <w:t>Ev</w:t>
      </w:r>
      <w:r>
        <w:rPr>
          <w:rFonts w:cs="Arial"/>
          <w:szCs w:val="24"/>
        </w:rPr>
        <w:t>idence shows that when children’s</w:t>
      </w:r>
      <w:r w:rsidRPr="00A57E6B">
        <w:rPr>
          <w:rFonts w:cs="Arial"/>
          <w:szCs w:val="24"/>
        </w:rPr>
        <w:t xml:space="preserve"> first language is not valued by professionals they can lose confidence in their communication and language skills. A study by </w:t>
      </w:r>
      <w:r>
        <w:rPr>
          <w:rFonts w:cs="Arial"/>
          <w:szCs w:val="24"/>
        </w:rPr>
        <w:t>Changying (2010) revealed that i</w:t>
      </w:r>
      <w:r w:rsidRPr="00A57E6B">
        <w:rPr>
          <w:rFonts w:cs="Arial"/>
          <w:szCs w:val="24"/>
        </w:rPr>
        <w:t>t was common to see and hear children confidently speaking in their first language become very shy and uncomfortable when asked to communicate in English. When asked to speak in their first language in the classroom one child responded that her language was ‘ugly’ and others refused to use their first language at all. This case study demonstrates the sudden loss of power associated with not being able to effectively communicate and having their first language devalued (Changying, 2010). Similarly</w:t>
      </w:r>
      <w:r w:rsidR="00F00DF5">
        <w:rPr>
          <w:rFonts w:cs="Arial"/>
          <w:szCs w:val="24"/>
        </w:rPr>
        <w:t>,</w:t>
      </w:r>
      <w:r w:rsidRPr="00A57E6B">
        <w:rPr>
          <w:rFonts w:cs="Arial"/>
          <w:szCs w:val="24"/>
        </w:rPr>
        <w:t xml:space="preserve"> when second language learning is given the highest priority and valued over a first language</w:t>
      </w:r>
      <w:r>
        <w:rPr>
          <w:rFonts w:cs="Arial"/>
          <w:szCs w:val="24"/>
        </w:rPr>
        <w:t>, children</w:t>
      </w:r>
      <w:r w:rsidRPr="00A57E6B">
        <w:rPr>
          <w:rFonts w:cs="Arial"/>
          <w:szCs w:val="24"/>
        </w:rPr>
        <w:t xml:space="preserve"> can experience a loss of connection and identity</w:t>
      </w:r>
      <w:r>
        <w:rPr>
          <w:rFonts w:cs="Arial"/>
          <w:szCs w:val="24"/>
        </w:rPr>
        <w:t xml:space="preserve"> that in turn leads to low self-</w:t>
      </w:r>
      <w:r w:rsidRPr="00A57E6B">
        <w:rPr>
          <w:rFonts w:cs="Arial"/>
          <w:szCs w:val="24"/>
        </w:rPr>
        <w:t xml:space="preserve">esteem (Yazici, </w:t>
      </w:r>
      <w:r w:rsidR="00BF0687">
        <w:rPr>
          <w:rFonts w:cs="Arial"/>
          <w:szCs w:val="24"/>
        </w:rPr>
        <w:t>et al.</w:t>
      </w:r>
      <w:r w:rsidRPr="00A57E6B">
        <w:rPr>
          <w:rFonts w:cs="Arial"/>
          <w:szCs w:val="24"/>
        </w:rPr>
        <w:t>, 2010;</w:t>
      </w:r>
      <w:r w:rsidRPr="00DD0437">
        <w:rPr>
          <w:rFonts w:cs="Arial"/>
          <w:szCs w:val="24"/>
        </w:rPr>
        <w:t xml:space="preserve"> </w:t>
      </w:r>
      <w:r w:rsidRPr="00A57E6B">
        <w:rPr>
          <w:rFonts w:cs="Arial"/>
          <w:szCs w:val="24"/>
        </w:rPr>
        <w:t xml:space="preserve">Suarez-orozco, Suarez-orozco </w:t>
      </w:r>
      <w:r>
        <w:rPr>
          <w:rFonts w:cs="Arial"/>
          <w:szCs w:val="24"/>
        </w:rPr>
        <w:t>and</w:t>
      </w:r>
      <w:r w:rsidRPr="00A57E6B">
        <w:rPr>
          <w:rFonts w:cs="Arial"/>
          <w:szCs w:val="24"/>
        </w:rPr>
        <w:t xml:space="preserve"> Sattin-Bajaj, 2010). Research also demonstrates that competenc</w:t>
      </w:r>
      <w:r w:rsidR="00F00DF5">
        <w:rPr>
          <w:rFonts w:cs="Arial"/>
          <w:szCs w:val="24"/>
        </w:rPr>
        <w:t>e</w:t>
      </w:r>
      <w:r w:rsidRPr="00A57E6B">
        <w:rPr>
          <w:rFonts w:cs="Arial"/>
          <w:szCs w:val="24"/>
        </w:rPr>
        <w:t xml:space="preserve"> in a child’s first la</w:t>
      </w:r>
      <w:r>
        <w:rPr>
          <w:rFonts w:cs="Arial"/>
          <w:szCs w:val="24"/>
        </w:rPr>
        <w:t>nguage is linked to success in second</w:t>
      </w:r>
      <w:r w:rsidRPr="00A57E6B">
        <w:rPr>
          <w:rFonts w:cs="Arial"/>
          <w:szCs w:val="24"/>
        </w:rPr>
        <w:t xml:space="preserve"> language attainment. When a child is competent in their first language they are better able to learn a second </w:t>
      </w:r>
      <w:r>
        <w:rPr>
          <w:rFonts w:cs="Arial"/>
          <w:szCs w:val="24"/>
        </w:rPr>
        <w:t xml:space="preserve">or additional </w:t>
      </w:r>
      <w:r w:rsidRPr="00A57E6B">
        <w:rPr>
          <w:rFonts w:cs="Arial"/>
          <w:szCs w:val="24"/>
        </w:rPr>
        <w:t xml:space="preserve">language as they have an understanding of how languages work (Yazici, </w:t>
      </w:r>
      <w:r w:rsidR="00BF0687">
        <w:rPr>
          <w:rFonts w:cs="Arial"/>
          <w:szCs w:val="24"/>
        </w:rPr>
        <w:t>et al.</w:t>
      </w:r>
      <w:r w:rsidRPr="00A57E6B">
        <w:rPr>
          <w:rFonts w:cs="Arial"/>
          <w:szCs w:val="24"/>
        </w:rPr>
        <w:t xml:space="preserve">, 2010). </w:t>
      </w:r>
      <w:r w:rsidRPr="00A57E6B">
        <w:rPr>
          <w:rFonts w:cs="Arial"/>
          <w:i/>
          <w:szCs w:val="24"/>
        </w:rPr>
        <w:t xml:space="preserve"> </w:t>
      </w:r>
    </w:p>
    <w:p w:rsidR="002E17D1" w:rsidRDefault="002E17D1" w:rsidP="002E17D1">
      <w:pPr>
        <w:pStyle w:val="Heading3"/>
      </w:pPr>
    </w:p>
    <w:p w:rsidR="002E17D1" w:rsidRPr="00A57E6B" w:rsidRDefault="002E17D1" w:rsidP="002E17D1">
      <w:pPr>
        <w:pStyle w:val="Heading3"/>
      </w:pPr>
      <w:bookmarkStart w:id="28" w:name="_Toc166906042"/>
      <w:bookmarkStart w:id="29" w:name="_Toc174694423"/>
      <w:r w:rsidRPr="00A57E6B">
        <w:t xml:space="preserve">Children have better outcomes in early childhood </w:t>
      </w:r>
      <w:r>
        <w:t>settings</w:t>
      </w:r>
      <w:r w:rsidRPr="00A57E6B">
        <w:t xml:space="preserve"> when there are partnerships with families and the community.</w:t>
      </w:r>
      <w:bookmarkEnd w:id="28"/>
      <w:bookmarkEnd w:id="29"/>
    </w:p>
    <w:p w:rsidR="002E17D1" w:rsidRDefault="002E17D1" w:rsidP="002E17D1">
      <w:pPr>
        <w:pStyle w:val="BodyTextFirstIndent"/>
      </w:pPr>
      <w:r w:rsidRPr="00A57E6B">
        <w:t>“When you enrol a child, you actually enrol a family” Lyn (Imtou</w:t>
      </w:r>
      <w:r>
        <w:t xml:space="preserve">al, Kameniar and Bradley, 2009, p. </w:t>
      </w:r>
      <w:r w:rsidRPr="00A57E6B">
        <w:t>26)</w:t>
      </w:r>
    </w:p>
    <w:p w:rsidR="002E17D1" w:rsidRPr="00A57E6B" w:rsidRDefault="002E17D1" w:rsidP="002E17D1">
      <w:pPr>
        <w:pStyle w:val="BodyTextFirstIndent"/>
      </w:pPr>
    </w:p>
    <w:p w:rsidR="002E17D1" w:rsidRPr="00A57E6B" w:rsidRDefault="002E17D1" w:rsidP="002E17D1">
      <w:pPr>
        <w:rPr>
          <w:rFonts w:cs="Arial"/>
          <w:szCs w:val="24"/>
        </w:rPr>
      </w:pPr>
      <w:r w:rsidRPr="00A57E6B">
        <w:rPr>
          <w:rFonts w:cs="Arial"/>
          <w:szCs w:val="24"/>
        </w:rPr>
        <w:t>Equity and diversity are key principles for forming respectful partnerships with families. When families feel supported and included in their child’s education and care children have better outcomes. Family</w:t>
      </w:r>
      <w:r w:rsidR="00F00DF5">
        <w:rPr>
          <w:rFonts w:cs="Arial"/>
          <w:szCs w:val="24"/>
        </w:rPr>
        <w:t>-</w:t>
      </w:r>
      <w:r w:rsidRPr="00A57E6B">
        <w:rPr>
          <w:rFonts w:cs="Arial"/>
          <w:szCs w:val="24"/>
        </w:rPr>
        <w:t xml:space="preserve">centred practice recognises the key role that families play in their child’s development and has been identified in many studies as being the optimal model for ensuring holistic, collaborative education and care (Roger, Braithwaite </w:t>
      </w:r>
      <w:r>
        <w:rPr>
          <w:rFonts w:cs="Arial"/>
          <w:szCs w:val="24"/>
        </w:rPr>
        <w:t>and</w:t>
      </w:r>
      <w:r w:rsidRPr="00A57E6B">
        <w:rPr>
          <w:rFonts w:cs="Arial"/>
          <w:szCs w:val="24"/>
        </w:rPr>
        <w:t xml:space="preserve"> Keen, 2004; Imtoual, </w:t>
      </w:r>
      <w:r w:rsidR="00BF0687">
        <w:rPr>
          <w:rFonts w:cs="Arial"/>
          <w:szCs w:val="24"/>
        </w:rPr>
        <w:t>et al.</w:t>
      </w:r>
      <w:r w:rsidRPr="00A57E6B">
        <w:rPr>
          <w:rFonts w:cs="Arial"/>
          <w:szCs w:val="24"/>
        </w:rPr>
        <w:t xml:space="preserve">, 2009; Suarez-orozco, </w:t>
      </w:r>
      <w:r w:rsidR="00BF0687">
        <w:rPr>
          <w:rFonts w:cs="Arial"/>
          <w:szCs w:val="24"/>
        </w:rPr>
        <w:t>et al.</w:t>
      </w:r>
      <w:r w:rsidRPr="00A57E6B">
        <w:rPr>
          <w:rFonts w:cs="Arial"/>
          <w:szCs w:val="24"/>
        </w:rPr>
        <w:t>, 2010). Family</w:t>
      </w:r>
      <w:r w:rsidR="00F00DF5">
        <w:rPr>
          <w:rFonts w:cs="Arial"/>
          <w:szCs w:val="24"/>
        </w:rPr>
        <w:t>-</w:t>
      </w:r>
      <w:r w:rsidRPr="00A57E6B">
        <w:rPr>
          <w:rFonts w:cs="Arial"/>
          <w:szCs w:val="24"/>
        </w:rPr>
        <w:t xml:space="preserve">centred practice is defined in detail when looking at achieving best practice. </w:t>
      </w:r>
    </w:p>
    <w:p w:rsidR="002E17D1" w:rsidRPr="00A57E6B" w:rsidRDefault="002E17D1" w:rsidP="002E17D1">
      <w:pPr>
        <w:rPr>
          <w:rFonts w:cs="Arial"/>
          <w:szCs w:val="24"/>
        </w:rPr>
      </w:pPr>
      <w:r w:rsidRPr="00A57E6B">
        <w:rPr>
          <w:rFonts w:cs="Arial"/>
          <w:szCs w:val="24"/>
        </w:rPr>
        <w:t xml:space="preserve">Children’s </w:t>
      </w:r>
      <w:r w:rsidR="00F00DF5">
        <w:rPr>
          <w:rFonts w:cs="Arial"/>
          <w:szCs w:val="24"/>
        </w:rPr>
        <w:t>learning and development</w:t>
      </w:r>
      <w:r w:rsidR="00F00DF5" w:rsidRPr="00A57E6B">
        <w:rPr>
          <w:rFonts w:cs="Arial"/>
          <w:szCs w:val="24"/>
        </w:rPr>
        <w:t xml:space="preserve"> </w:t>
      </w:r>
      <w:r w:rsidRPr="00A57E6B">
        <w:rPr>
          <w:rFonts w:cs="Arial"/>
          <w:szCs w:val="24"/>
        </w:rPr>
        <w:t xml:space="preserve">outcomes are improved when </w:t>
      </w:r>
      <w:r w:rsidR="00F00DF5">
        <w:rPr>
          <w:rFonts w:cs="Arial"/>
          <w:szCs w:val="24"/>
        </w:rPr>
        <w:t>learning</w:t>
      </w:r>
      <w:r w:rsidRPr="00A57E6B">
        <w:rPr>
          <w:rFonts w:cs="Arial"/>
          <w:szCs w:val="24"/>
        </w:rPr>
        <w:t xml:space="preserve"> is supported in the home. For example parent-child literacy activities are positively associated with reading interest and print knowledge (Weigel, Martin </w:t>
      </w:r>
      <w:r>
        <w:rPr>
          <w:rFonts w:cs="Arial"/>
          <w:szCs w:val="24"/>
        </w:rPr>
        <w:t>and</w:t>
      </w:r>
      <w:r w:rsidRPr="00A57E6B">
        <w:rPr>
          <w:rFonts w:cs="Arial"/>
          <w:szCs w:val="24"/>
        </w:rPr>
        <w:t xml:space="preserve"> Bennett, 2005). </w:t>
      </w:r>
      <w:r>
        <w:rPr>
          <w:rFonts w:cs="Arial"/>
          <w:szCs w:val="24"/>
        </w:rPr>
        <w:t>C</w:t>
      </w:r>
      <w:r w:rsidRPr="00A57E6B">
        <w:rPr>
          <w:rFonts w:cs="Arial"/>
          <w:szCs w:val="24"/>
        </w:rPr>
        <w:t>hildren’s belief in their learning ability is influenced by the expectations of parents and educators. When a parent has high expectations for their child’s learning this directl</w:t>
      </w:r>
      <w:r>
        <w:rPr>
          <w:rFonts w:cs="Arial"/>
          <w:szCs w:val="24"/>
        </w:rPr>
        <w:t>y affects both the child’s self-</w:t>
      </w:r>
      <w:r w:rsidRPr="00A57E6B">
        <w:rPr>
          <w:rFonts w:cs="Arial"/>
          <w:szCs w:val="24"/>
        </w:rPr>
        <w:t>belief and the child’s actual achievement (</w:t>
      </w:r>
      <w:r w:rsidRPr="00A57E6B">
        <w:rPr>
          <w:szCs w:val="24"/>
        </w:rPr>
        <w:t xml:space="preserve">Neuenschwander </w:t>
      </w:r>
      <w:r w:rsidR="00BF0687">
        <w:rPr>
          <w:szCs w:val="24"/>
        </w:rPr>
        <w:t>et al.</w:t>
      </w:r>
      <w:r w:rsidRPr="00A57E6B">
        <w:rPr>
          <w:szCs w:val="24"/>
        </w:rPr>
        <w:t xml:space="preserve">, 2007). When children perceive support from parents, peers and </w:t>
      </w:r>
      <w:r w:rsidR="00F00DF5">
        <w:rPr>
          <w:szCs w:val="24"/>
        </w:rPr>
        <w:t>early childhood professionals</w:t>
      </w:r>
      <w:r w:rsidR="00F00DF5" w:rsidRPr="00A57E6B">
        <w:rPr>
          <w:szCs w:val="24"/>
        </w:rPr>
        <w:t xml:space="preserve"> </w:t>
      </w:r>
      <w:r w:rsidRPr="00A57E6B">
        <w:rPr>
          <w:szCs w:val="24"/>
        </w:rPr>
        <w:t xml:space="preserve">this </w:t>
      </w:r>
      <w:r w:rsidR="005852E8">
        <w:rPr>
          <w:szCs w:val="24"/>
        </w:rPr>
        <w:t xml:space="preserve">has a positive </w:t>
      </w:r>
      <w:r w:rsidRPr="00A57E6B">
        <w:rPr>
          <w:szCs w:val="24"/>
        </w:rPr>
        <w:t xml:space="preserve">effect </w:t>
      </w:r>
      <w:r w:rsidR="005852E8">
        <w:rPr>
          <w:szCs w:val="24"/>
        </w:rPr>
        <w:t xml:space="preserve">on </w:t>
      </w:r>
      <w:r w:rsidRPr="00A57E6B">
        <w:rPr>
          <w:szCs w:val="24"/>
        </w:rPr>
        <w:t>their motivation</w:t>
      </w:r>
      <w:r w:rsidR="00F00DF5">
        <w:rPr>
          <w:szCs w:val="24"/>
        </w:rPr>
        <w:t xml:space="preserve"> to achieve</w:t>
      </w:r>
      <w:r w:rsidRPr="00A57E6B">
        <w:rPr>
          <w:szCs w:val="24"/>
        </w:rPr>
        <w:t xml:space="preserve"> which in turn leads to better </w:t>
      </w:r>
      <w:r w:rsidR="00F00DF5">
        <w:rPr>
          <w:szCs w:val="24"/>
        </w:rPr>
        <w:lastRenderedPageBreak/>
        <w:t>learning and development</w:t>
      </w:r>
      <w:r w:rsidR="00F00DF5" w:rsidRPr="00A57E6B">
        <w:rPr>
          <w:szCs w:val="24"/>
        </w:rPr>
        <w:t xml:space="preserve"> </w:t>
      </w:r>
      <w:r w:rsidRPr="00A57E6B">
        <w:rPr>
          <w:szCs w:val="24"/>
        </w:rPr>
        <w:t xml:space="preserve">outcomes (Ahmed </w:t>
      </w:r>
      <w:r w:rsidR="00BF0687">
        <w:rPr>
          <w:szCs w:val="24"/>
        </w:rPr>
        <w:t>et al.</w:t>
      </w:r>
      <w:r w:rsidRPr="00A57E6B">
        <w:rPr>
          <w:szCs w:val="24"/>
        </w:rPr>
        <w:t xml:space="preserve">, 2008, Suarez-orozco, </w:t>
      </w:r>
      <w:r w:rsidR="00BF0687">
        <w:rPr>
          <w:szCs w:val="24"/>
        </w:rPr>
        <w:t>et al.</w:t>
      </w:r>
      <w:r w:rsidRPr="00A57E6B">
        <w:rPr>
          <w:szCs w:val="24"/>
        </w:rPr>
        <w:t xml:space="preserve">, 2010). </w:t>
      </w:r>
    </w:p>
    <w:p w:rsidR="002E17D1" w:rsidRPr="00A57E6B" w:rsidRDefault="002E17D1" w:rsidP="002E17D1">
      <w:pPr>
        <w:rPr>
          <w:rFonts w:cs="Arial"/>
          <w:szCs w:val="24"/>
        </w:rPr>
      </w:pPr>
      <w:r w:rsidRPr="00A57E6B">
        <w:rPr>
          <w:szCs w:val="24"/>
        </w:rPr>
        <w:t xml:space="preserve">Responsive </w:t>
      </w:r>
      <w:r w:rsidR="00F00DF5">
        <w:rPr>
          <w:szCs w:val="24"/>
        </w:rPr>
        <w:t>early childhood professionals</w:t>
      </w:r>
      <w:r w:rsidR="00F00DF5" w:rsidRPr="00A57E6B">
        <w:rPr>
          <w:szCs w:val="24"/>
        </w:rPr>
        <w:t xml:space="preserve"> </w:t>
      </w:r>
      <w:r w:rsidRPr="00A57E6B">
        <w:rPr>
          <w:szCs w:val="24"/>
        </w:rPr>
        <w:t>recognise that each child ha</w:t>
      </w:r>
      <w:r w:rsidR="00F00DF5">
        <w:rPr>
          <w:szCs w:val="24"/>
        </w:rPr>
        <w:t>s</w:t>
      </w:r>
      <w:r w:rsidRPr="00A57E6B">
        <w:rPr>
          <w:szCs w:val="24"/>
        </w:rPr>
        <w:t xml:space="preserve"> a unique context that affect</w:t>
      </w:r>
      <w:r w:rsidR="00F00DF5">
        <w:rPr>
          <w:szCs w:val="24"/>
        </w:rPr>
        <w:t>s</w:t>
      </w:r>
      <w:r w:rsidRPr="00A57E6B">
        <w:rPr>
          <w:szCs w:val="24"/>
        </w:rPr>
        <w:t xml:space="preserve"> the way that their learning is supported in the home. For example</w:t>
      </w:r>
      <w:r>
        <w:rPr>
          <w:szCs w:val="24"/>
        </w:rPr>
        <w:t>,</w:t>
      </w:r>
      <w:r w:rsidRPr="00A57E6B">
        <w:rPr>
          <w:szCs w:val="24"/>
        </w:rPr>
        <w:t xml:space="preserve"> making connections with home activities, </w:t>
      </w:r>
      <w:r>
        <w:rPr>
          <w:szCs w:val="24"/>
        </w:rPr>
        <w:t xml:space="preserve">such as </w:t>
      </w:r>
      <w:r w:rsidRPr="00A57E6B">
        <w:rPr>
          <w:szCs w:val="24"/>
        </w:rPr>
        <w:t xml:space="preserve">storytelling or letter writing, can demonstrate that </w:t>
      </w:r>
      <w:r w:rsidR="00F00DF5">
        <w:rPr>
          <w:szCs w:val="24"/>
        </w:rPr>
        <w:t>early childhood professionals</w:t>
      </w:r>
      <w:r w:rsidR="00F00DF5" w:rsidRPr="00A57E6B">
        <w:rPr>
          <w:szCs w:val="24"/>
        </w:rPr>
        <w:t xml:space="preserve"> </w:t>
      </w:r>
      <w:r w:rsidRPr="00A57E6B">
        <w:rPr>
          <w:szCs w:val="24"/>
        </w:rPr>
        <w:t xml:space="preserve">respect </w:t>
      </w:r>
      <w:r w:rsidR="00FA1C61">
        <w:rPr>
          <w:szCs w:val="24"/>
        </w:rPr>
        <w:t>families’ practices and knowledge,</w:t>
      </w:r>
      <w:r w:rsidRPr="00A57E6B">
        <w:rPr>
          <w:szCs w:val="24"/>
        </w:rPr>
        <w:t xml:space="preserve"> and can increase children’s exposure to multimodal learning (Macmillan, 2004). Alternatively</w:t>
      </w:r>
      <w:r>
        <w:rPr>
          <w:szCs w:val="24"/>
        </w:rPr>
        <w:t>, enabling children to</w:t>
      </w:r>
      <w:r w:rsidRPr="00A57E6B">
        <w:rPr>
          <w:szCs w:val="24"/>
        </w:rPr>
        <w:t xml:space="preserve"> take home books or mathematics kits can engage families in their children’s learning in ways they may previously not have considered (Macmillan, 2004</w:t>
      </w:r>
      <w:r w:rsidR="00820085">
        <w:rPr>
          <w:szCs w:val="24"/>
        </w:rPr>
        <w:t>;</w:t>
      </w:r>
      <w:r w:rsidRPr="00A57E6B">
        <w:rPr>
          <w:szCs w:val="24"/>
        </w:rPr>
        <w:t xml:space="preserve"> Freeman </w:t>
      </w:r>
      <w:r>
        <w:rPr>
          <w:szCs w:val="24"/>
        </w:rPr>
        <w:t>and</w:t>
      </w:r>
      <w:r w:rsidRPr="00A57E6B">
        <w:rPr>
          <w:szCs w:val="24"/>
        </w:rPr>
        <w:t xml:space="preserve"> Bochner, 2008). Families should be encouraged and supported to take an active role in their children’s education</w:t>
      </w:r>
      <w:r>
        <w:rPr>
          <w:szCs w:val="24"/>
        </w:rPr>
        <w:t>. T</w:t>
      </w:r>
      <w:r w:rsidRPr="00A57E6B">
        <w:rPr>
          <w:szCs w:val="24"/>
        </w:rPr>
        <w:t xml:space="preserve">his may require additional support for families who may not be confident or who feel they lack the resources to extend their children’s learning. </w:t>
      </w:r>
    </w:p>
    <w:p w:rsidR="002E17D1" w:rsidRPr="00A57E6B" w:rsidRDefault="002E17D1" w:rsidP="002E17D1">
      <w:pPr>
        <w:rPr>
          <w:rFonts w:cs="Arial"/>
          <w:szCs w:val="24"/>
        </w:rPr>
      </w:pPr>
      <w:r w:rsidRPr="00A57E6B">
        <w:rPr>
          <w:rFonts w:cs="Arial"/>
          <w:szCs w:val="24"/>
        </w:rPr>
        <w:t>Families feel more welcome in professional settings when their culture and child rearing practices are valued and respected. In a small study of Sudanese mothers living in South Australia, there was a common desire to preserve the traditions and culture of Suda</w:t>
      </w:r>
      <w:r>
        <w:rPr>
          <w:rFonts w:cs="Arial"/>
          <w:szCs w:val="24"/>
        </w:rPr>
        <w:t>nese child rearing. Many mother</w:t>
      </w:r>
      <w:r w:rsidRPr="00A57E6B">
        <w:rPr>
          <w:rFonts w:cs="Arial"/>
          <w:szCs w:val="24"/>
        </w:rPr>
        <w:t xml:space="preserve">s felt that child care workers did not understand their children and were not caring for their children in a way that was consistent with their values and beliefs (Ebbeck </w:t>
      </w:r>
      <w:r>
        <w:rPr>
          <w:rFonts w:cs="Arial"/>
          <w:szCs w:val="24"/>
        </w:rPr>
        <w:t>and</w:t>
      </w:r>
      <w:r w:rsidRPr="00A57E6B">
        <w:rPr>
          <w:rFonts w:cs="Arial"/>
          <w:szCs w:val="24"/>
        </w:rPr>
        <w:t xml:space="preserve"> Dela Cerna, 2007). This sentiment was mirrored in research with </w:t>
      </w:r>
      <w:r w:rsidR="00F00DF5">
        <w:rPr>
          <w:rFonts w:cs="Arial"/>
          <w:szCs w:val="24"/>
        </w:rPr>
        <w:t>Aboriginal</w:t>
      </w:r>
      <w:r w:rsidR="00F00DF5" w:rsidRPr="00A57E6B">
        <w:rPr>
          <w:rFonts w:cs="Arial"/>
          <w:szCs w:val="24"/>
        </w:rPr>
        <w:t xml:space="preserve"> </w:t>
      </w:r>
      <w:r w:rsidRPr="00A57E6B">
        <w:rPr>
          <w:rFonts w:cs="Arial"/>
          <w:szCs w:val="24"/>
        </w:rPr>
        <w:t>families who felt that their value</w:t>
      </w:r>
      <w:r>
        <w:rPr>
          <w:rFonts w:cs="Arial"/>
          <w:szCs w:val="24"/>
        </w:rPr>
        <w:t>s</w:t>
      </w:r>
      <w:r w:rsidRPr="00A57E6B">
        <w:rPr>
          <w:rFonts w:cs="Arial"/>
          <w:szCs w:val="24"/>
        </w:rPr>
        <w:t xml:space="preserve"> and child rearing practices were not respected in </w:t>
      </w:r>
      <w:r w:rsidR="00F00DF5">
        <w:rPr>
          <w:rFonts w:cs="Arial"/>
          <w:szCs w:val="24"/>
        </w:rPr>
        <w:t>early childhood</w:t>
      </w:r>
      <w:r w:rsidRPr="00A57E6B">
        <w:rPr>
          <w:rFonts w:cs="Arial"/>
          <w:szCs w:val="24"/>
        </w:rPr>
        <w:t xml:space="preserve"> settings (Kitson </w:t>
      </w:r>
      <w:r>
        <w:rPr>
          <w:rFonts w:cs="Arial"/>
          <w:szCs w:val="24"/>
        </w:rPr>
        <w:t>and</w:t>
      </w:r>
      <w:r w:rsidRPr="00A57E6B">
        <w:rPr>
          <w:rFonts w:cs="Arial"/>
          <w:szCs w:val="24"/>
        </w:rPr>
        <w:t xml:space="preserve"> Bowes, 2010). When conside</w:t>
      </w:r>
      <w:r>
        <w:rPr>
          <w:rFonts w:cs="Arial"/>
          <w:szCs w:val="24"/>
        </w:rPr>
        <w:t>ring the values of families in early childhood education and care</w:t>
      </w:r>
      <w:r w:rsidRPr="00A57E6B">
        <w:rPr>
          <w:rFonts w:cs="Arial"/>
          <w:szCs w:val="24"/>
        </w:rPr>
        <w:t xml:space="preserve"> it is important not to stereotype</w:t>
      </w:r>
      <w:r>
        <w:rPr>
          <w:rFonts w:cs="Arial"/>
          <w:szCs w:val="24"/>
        </w:rPr>
        <w:t>,</w:t>
      </w:r>
      <w:r w:rsidRPr="00A57E6B">
        <w:rPr>
          <w:rFonts w:cs="Arial"/>
          <w:szCs w:val="24"/>
        </w:rPr>
        <w:t xml:space="preserve"> but to open communication about child rearing and other values and to respect the expert knowledge families have of their children (Talay-Ongan, 2004). </w:t>
      </w:r>
    </w:p>
    <w:p w:rsidR="002E17D1" w:rsidRPr="00A57E6B" w:rsidRDefault="002E17D1" w:rsidP="002E17D1">
      <w:pPr>
        <w:pStyle w:val="Heading3"/>
        <w:rPr>
          <w:rFonts w:cs="Arial"/>
          <w:szCs w:val="24"/>
        </w:rPr>
      </w:pPr>
      <w:bookmarkStart w:id="30" w:name="_Toc166906043"/>
      <w:bookmarkStart w:id="31" w:name="_Toc174694424"/>
      <w:r w:rsidRPr="005A459D">
        <w:t xml:space="preserve">Early childhood settings that promote </w:t>
      </w:r>
      <w:r>
        <w:t>Aboriginal</w:t>
      </w:r>
      <w:r w:rsidRPr="005A459D">
        <w:t xml:space="preserve"> culture and </w:t>
      </w:r>
      <w:r>
        <w:t>perspectives</w:t>
      </w:r>
      <w:r w:rsidRPr="005A459D">
        <w:t xml:space="preserve"> support </w:t>
      </w:r>
      <w:r>
        <w:t>Aboriginal</w:t>
      </w:r>
      <w:r w:rsidRPr="005A459D">
        <w:t xml:space="preserve"> children’s sense of identity and belonging, as well as promoting a culture of understanding and respect towards cultural diversity for all children</w:t>
      </w:r>
      <w:r w:rsidRPr="00A57E6B">
        <w:rPr>
          <w:rFonts w:cs="Arial"/>
          <w:szCs w:val="24"/>
        </w:rPr>
        <w:t>.</w:t>
      </w:r>
      <w:bookmarkEnd w:id="30"/>
      <w:bookmarkEnd w:id="31"/>
      <w:r w:rsidRPr="00A57E6B">
        <w:rPr>
          <w:rFonts w:cs="Arial"/>
          <w:szCs w:val="24"/>
        </w:rPr>
        <w:t xml:space="preserve"> </w:t>
      </w:r>
    </w:p>
    <w:p w:rsidR="002E17D1" w:rsidRPr="00A57E6B" w:rsidRDefault="002E17D1" w:rsidP="002E17D1">
      <w:pPr>
        <w:rPr>
          <w:rFonts w:cs="Arial"/>
          <w:szCs w:val="24"/>
        </w:rPr>
      </w:pPr>
      <w:r w:rsidRPr="00A57E6B">
        <w:rPr>
          <w:rFonts w:cs="Arial"/>
          <w:szCs w:val="24"/>
        </w:rPr>
        <w:t xml:space="preserve">Each child has a unique experience of context and culture. When this is understood children are more likely to feel supported and have a strong sense of belonging (Kitson, </w:t>
      </w:r>
      <w:r>
        <w:rPr>
          <w:rFonts w:cs="Arial"/>
          <w:szCs w:val="24"/>
        </w:rPr>
        <w:t>and</w:t>
      </w:r>
      <w:r w:rsidRPr="00A57E6B">
        <w:rPr>
          <w:rFonts w:cs="Arial"/>
          <w:szCs w:val="24"/>
        </w:rPr>
        <w:t xml:space="preserve"> Bowes, 2010).  One of the key factors in effective diversity practice is to avoid stereotyping children and families based on their gender, race, culture or other </w:t>
      </w:r>
      <w:r w:rsidR="00F00DF5">
        <w:rPr>
          <w:rFonts w:cs="Arial"/>
          <w:szCs w:val="24"/>
        </w:rPr>
        <w:t>attributes</w:t>
      </w:r>
      <w:r w:rsidRPr="00A57E6B">
        <w:rPr>
          <w:rFonts w:cs="Arial"/>
          <w:szCs w:val="24"/>
        </w:rPr>
        <w:t xml:space="preserve">. No two children have the same life experiences so it is important to avoid stereotypes and engage with families on a personal and individual level. In a study of </w:t>
      </w:r>
      <w:r>
        <w:rPr>
          <w:rFonts w:cs="Arial"/>
          <w:szCs w:val="24"/>
        </w:rPr>
        <w:t>Aboriginal knowledge and perspectives in p</w:t>
      </w:r>
      <w:r w:rsidRPr="00A57E6B">
        <w:rPr>
          <w:rFonts w:cs="Arial"/>
          <w:szCs w:val="24"/>
        </w:rPr>
        <w:t xml:space="preserve">rimary schools, the following story highlighted the image that some children had constructed </w:t>
      </w:r>
      <w:r>
        <w:rPr>
          <w:rFonts w:cs="Arial"/>
          <w:szCs w:val="24"/>
        </w:rPr>
        <w:t>about who Aboriginal people are:</w:t>
      </w:r>
    </w:p>
    <w:p w:rsidR="002E17D1" w:rsidRPr="00A57E6B" w:rsidRDefault="002E17D1" w:rsidP="002E17D1">
      <w:pPr>
        <w:pStyle w:val="BodyTextFirstIndent"/>
      </w:pPr>
      <w:r w:rsidRPr="00A57E6B">
        <w:t>An Aboriginal principal at one school told the story:</w:t>
      </w:r>
    </w:p>
    <w:p w:rsidR="002E17D1" w:rsidRPr="00A57E6B" w:rsidRDefault="002E17D1" w:rsidP="002E17D1">
      <w:pPr>
        <w:pStyle w:val="BodyTextFirstIndent"/>
      </w:pPr>
      <w:r w:rsidRPr="00A57E6B">
        <w:t>I said to the kids at assembly, ‘would you recognise an Aboriginal person if they walked in here? What would they look like? The kids replied, someone dark, someone from the NT [Northern Territory].</w:t>
      </w:r>
    </w:p>
    <w:p w:rsidR="002E17D1" w:rsidRPr="00A57E6B" w:rsidRDefault="002E17D1" w:rsidP="002E17D1">
      <w:pPr>
        <w:pStyle w:val="BodyTextFirstIndent"/>
      </w:pPr>
      <w:r w:rsidRPr="00A57E6B">
        <w:t>He then announced to the assembled children, ‘well one just walked in five minutes ago’</w:t>
      </w:r>
      <w:r>
        <w:t>.</w:t>
      </w:r>
    </w:p>
    <w:p w:rsidR="002E17D1" w:rsidRPr="00A57E6B" w:rsidRDefault="002E17D1" w:rsidP="002E17D1">
      <w:pPr>
        <w:pStyle w:val="BodyTextFirstIndent"/>
      </w:pPr>
      <w:r>
        <w:t>A</w:t>
      </w:r>
      <w:r w:rsidRPr="00A57E6B">
        <w:t>nd the children all looked around to see where the Aboriginal person was. The principal then added, ‘</w:t>
      </w:r>
      <w:r>
        <w:t>that Aboriginal person was me’.</w:t>
      </w:r>
      <w:r w:rsidRPr="00A57E6B">
        <w:t xml:space="preserve"> </w:t>
      </w:r>
      <w:r>
        <w:t>(Harrison and Greenfield, 2011, p.</w:t>
      </w:r>
      <w:r w:rsidRPr="00A57E6B">
        <w:t xml:space="preserve"> 69)</w:t>
      </w:r>
    </w:p>
    <w:p w:rsidR="002E17D1" w:rsidRPr="00A57E6B" w:rsidRDefault="002E17D1" w:rsidP="002E17D1">
      <w:pPr>
        <w:autoSpaceDE w:val="0"/>
        <w:autoSpaceDN w:val="0"/>
        <w:adjustRightInd w:val="0"/>
        <w:spacing w:after="0"/>
        <w:jc w:val="left"/>
        <w:rPr>
          <w:rFonts w:cs="TimesNewRomanPS"/>
          <w:color w:val="231F20"/>
          <w:szCs w:val="24"/>
        </w:rPr>
      </w:pPr>
    </w:p>
    <w:p w:rsidR="002E17D1" w:rsidRPr="00A57E6B" w:rsidRDefault="002E17D1" w:rsidP="002E17D1">
      <w:pPr>
        <w:autoSpaceDE w:val="0"/>
        <w:autoSpaceDN w:val="0"/>
        <w:adjustRightInd w:val="0"/>
        <w:spacing w:after="0"/>
        <w:rPr>
          <w:rFonts w:cs="TimesNewRomanPS"/>
          <w:color w:val="231F20"/>
          <w:szCs w:val="24"/>
        </w:rPr>
      </w:pPr>
      <w:r w:rsidRPr="00A57E6B">
        <w:rPr>
          <w:rFonts w:cs="TimesNewRomanPS"/>
          <w:color w:val="231F20"/>
          <w:szCs w:val="24"/>
        </w:rPr>
        <w:t xml:space="preserve">This story highlights the need for </w:t>
      </w:r>
      <w:r w:rsidR="00F00DF5">
        <w:rPr>
          <w:rFonts w:cs="TimesNewRomanPS"/>
          <w:color w:val="231F20"/>
          <w:szCs w:val="24"/>
        </w:rPr>
        <w:t>Aboriginal</w:t>
      </w:r>
      <w:r w:rsidR="00F00DF5" w:rsidRPr="00A57E6B">
        <w:rPr>
          <w:rFonts w:cs="TimesNewRomanPS"/>
          <w:color w:val="231F20"/>
          <w:szCs w:val="24"/>
        </w:rPr>
        <w:t xml:space="preserve"> </w:t>
      </w:r>
      <w:r w:rsidRPr="00A57E6B">
        <w:rPr>
          <w:rFonts w:cs="TimesNewRomanPS"/>
          <w:color w:val="231F20"/>
          <w:szCs w:val="24"/>
        </w:rPr>
        <w:t>knowledge and perspectives in early childhood that are both culturally relevant, local</w:t>
      </w:r>
      <w:r w:rsidR="00F00DF5">
        <w:rPr>
          <w:rFonts w:cs="TimesNewRomanPS"/>
          <w:color w:val="231F20"/>
          <w:szCs w:val="24"/>
        </w:rPr>
        <w:t>,</w:t>
      </w:r>
      <w:r w:rsidRPr="00A57E6B">
        <w:rPr>
          <w:rFonts w:cs="TimesNewRomanPS"/>
          <w:color w:val="231F20"/>
          <w:szCs w:val="24"/>
        </w:rPr>
        <w:t xml:space="preserve"> and acknowledge that every child has culture</w:t>
      </w:r>
      <w:r w:rsidR="00820085">
        <w:rPr>
          <w:rFonts w:cs="TimesNewRomanPS"/>
          <w:color w:val="231F20"/>
          <w:szCs w:val="24"/>
        </w:rPr>
        <w:t>,</w:t>
      </w:r>
      <w:r w:rsidRPr="00A57E6B">
        <w:rPr>
          <w:rFonts w:cs="TimesNewRomanPS"/>
          <w:color w:val="231F20"/>
          <w:szCs w:val="24"/>
        </w:rPr>
        <w:t xml:space="preserve"> not just children from </w:t>
      </w:r>
      <w:r w:rsidR="00F00DF5">
        <w:rPr>
          <w:rFonts w:cs="TimesNewRomanPS"/>
          <w:color w:val="231F20"/>
          <w:szCs w:val="24"/>
        </w:rPr>
        <w:t>Aboriginal</w:t>
      </w:r>
      <w:r w:rsidR="00F00DF5" w:rsidRPr="00A57E6B">
        <w:rPr>
          <w:rFonts w:cs="TimesNewRomanPS"/>
          <w:color w:val="231F20"/>
          <w:szCs w:val="24"/>
        </w:rPr>
        <w:t xml:space="preserve"> </w:t>
      </w:r>
      <w:r w:rsidRPr="00A57E6B">
        <w:rPr>
          <w:rFonts w:cs="TimesNewRomanPS"/>
          <w:color w:val="231F20"/>
          <w:szCs w:val="24"/>
        </w:rPr>
        <w:t xml:space="preserve">backgrounds or </w:t>
      </w:r>
      <w:r w:rsidR="00F00DF5">
        <w:rPr>
          <w:rFonts w:cs="TimesNewRomanPS"/>
          <w:color w:val="231F20"/>
          <w:szCs w:val="24"/>
        </w:rPr>
        <w:t xml:space="preserve">with </w:t>
      </w:r>
      <w:r w:rsidRPr="00A57E6B">
        <w:rPr>
          <w:rFonts w:cs="TimesNewRomanPS"/>
          <w:color w:val="231F20"/>
          <w:szCs w:val="24"/>
        </w:rPr>
        <w:t xml:space="preserve">different nationalities (Kitson </w:t>
      </w:r>
      <w:r>
        <w:rPr>
          <w:rFonts w:cs="TimesNewRomanPS"/>
          <w:color w:val="231F20"/>
          <w:szCs w:val="24"/>
        </w:rPr>
        <w:t>and</w:t>
      </w:r>
      <w:r w:rsidRPr="00A57E6B">
        <w:rPr>
          <w:rFonts w:cs="TimesNewRomanPS"/>
          <w:color w:val="231F20"/>
          <w:szCs w:val="24"/>
        </w:rPr>
        <w:t xml:space="preserve"> Bowes, 2010; Riggs </w:t>
      </w:r>
      <w:r>
        <w:rPr>
          <w:rFonts w:cs="TimesNewRomanPS"/>
          <w:color w:val="231F20"/>
          <w:szCs w:val="24"/>
        </w:rPr>
        <w:t>and</w:t>
      </w:r>
      <w:r w:rsidRPr="00A57E6B">
        <w:rPr>
          <w:rFonts w:cs="TimesNewRomanPS"/>
          <w:color w:val="231F20"/>
          <w:szCs w:val="24"/>
        </w:rPr>
        <w:t xml:space="preserve"> Due, 2010). For </w:t>
      </w:r>
      <w:r w:rsidR="00F00DF5">
        <w:rPr>
          <w:rFonts w:cs="TimesNewRomanPS"/>
          <w:color w:val="231F20"/>
          <w:szCs w:val="24"/>
        </w:rPr>
        <w:t>Aboriginal</w:t>
      </w:r>
      <w:r w:rsidR="00F00DF5" w:rsidRPr="00A57E6B">
        <w:rPr>
          <w:rFonts w:cs="TimesNewRomanPS"/>
          <w:color w:val="231F20"/>
          <w:szCs w:val="24"/>
        </w:rPr>
        <w:t xml:space="preserve"> </w:t>
      </w:r>
      <w:r w:rsidR="00F00DF5">
        <w:rPr>
          <w:rFonts w:cs="TimesNewRomanPS"/>
          <w:color w:val="231F20"/>
          <w:szCs w:val="24"/>
        </w:rPr>
        <w:t>children</w:t>
      </w:r>
      <w:r w:rsidR="00F00DF5" w:rsidRPr="00A57E6B">
        <w:rPr>
          <w:rFonts w:cs="TimesNewRomanPS"/>
          <w:color w:val="231F20"/>
          <w:szCs w:val="24"/>
        </w:rPr>
        <w:t xml:space="preserve"> </w:t>
      </w:r>
      <w:r w:rsidRPr="00A57E6B">
        <w:rPr>
          <w:rFonts w:cs="TimesNewRomanPS"/>
          <w:color w:val="231F20"/>
          <w:szCs w:val="24"/>
        </w:rPr>
        <w:t>to feel supported</w:t>
      </w:r>
      <w:r>
        <w:rPr>
          <w:rFonts w:cs="TimesNewRomanPS"/>
          <w:color w:val="231F20"/>
          <w:szCs w:val="24"/>
        </w:rPr>
        <w:t>,</w:t>
      </w:r>
      <w:r w:rsidRPr="00A57E6B">
        <w:rPr>
          <w:rFonts w:cs="TimesNewRomanPS"/>
          <w:color w:val="231F20"/>
          <w:szCs w:val="24"/>
        </w:rPr>
        <w:t xml:space="preserve"> early childhood </w:t>
      </w:r>
      <w:r w:rsidR="00F00DF5">
        <w:rPr>
          <w:rFonts w:cs="TimesNewRomanPS"/>
          <w:color w:val="231F20"/>
          <w:szCs w:val="24"/>
        </w:rPr>
        <w:t>professionals</w:t>
      </w:r>
      <w:r w:rsidR="00F00DF5" w:rsidRPr="00A57E6B">
        <w:rPr>
          <w:rFonts w:cs="TimesNewRomanPS"/>
          <w:color w:val="231F20"/>
          <w:szCs w:val="24"/>
        </w:rPr>
        <w:t xml:space="preserve"> </w:t>
      </w:r>
      <w:r w:rsidRPr="00A57E6B">
        <w:rPr>
          <w:rFonts w:cs="TimesNewRomanPS"/>
          <w:color w:val="231F20"/>
          <w:szCs w:val="24"/>
        </w:rPr>
        <w:t xml:space="preserve">need to </w:t>
      </w:r>
      <w:r w:rsidR="00F00DF5">
        <w:rPr>
          <w:rFonts w:cs="TimesNewRomanPS"/>
          <w:color w:val="231F20"/>
          <w:szCs w:val="24"/>
        </w:rPr>
        <w:t>support</w:t>
      </w:r>
      <w:r w:rsidR="00F00DF5" w:rsidRPr="00A57E6B">
        <w:rPr>
          <w:rFonts w:cs="TimesNewRomanPS"/>
          <w:color w:val="231F20"/>
          <w:szCs w:val="24"/>
        </w:rPr>
        <w:t xml:space="preserve"> </w:t>
      </w:r>
      <w:r w:rsidRPr="00A57E6B">
        <w:rPr>
          <w:rFonts w:cs="TimesNewRomanPS"/>
          <w:color w:val="231F20"/>
          <w:szCs w:val="24"/>
        </w:rPr>
        <w:t xml:space="preserve">children’s sense of place and connection, families’ sense of welcome and safety and demonstrate respect for </w:t>
      </w:r>
      <w:r w:rsidR="00F00DF5">
        <w:rPr>
          <w:rFonts w:cs="TimesNewRomanPS"/>
          <w:color w:val="231F20"/>
          <w:szCs w:val="24"/>
        </w:rPr>
        <w:t>Aboriginal</w:t>
      </w:r>
      <w:r w:rsidR="00F00DF5" w:rsidRPr="00A57E6B">
        <w:rPr>
          <w:rFonts w:cs="TimesNewRomanPS"/>
          <w:color w:val="231F20"/>
          <w:szCs w:val="24"/>
        </w:rPr>
        <w:t xml:space="preserve"> </w:t>
      </w:r>
      <w:r w:rsidRPr="00A57E6B">
        <w:rPr>
          <w:rFonts w:cs="TimesNewRomanPS"/>
          <w:color w:val="231F20"/>
          <w:szCs w:val="24"/>
        </w:rPr>
        <w:t>know</w:t>
      </w:r>
      <w:r w:rsidR="00F00DF5">
        <w:rPr>
          <w:rFonts w:cs="TimesNewRomanPS"/>
          <w:color w:val="231F20"/>
          <w:szCs w:val="24"/>
        </w:rPr>
        <w:t>ledge</w:t>
      </w:r>
      <w:r w:rsidRPr="00A57E6B">
        <w:rPr>
          <w:rFonts w:cs="TimesNewRomanPS"/>
          <w:color w:val="231F20"/>
          <w:szCs w:val="24"/>
        </w:rPr>
        <w:t xml:space="preserve"> and </w:t>
      </w:r>
      <w:r w:rsidR="00F00DF5">
        <w:rPr>
          <w:rFonts w:cs="TimesNewRomanPS"/>
          <w:color w:val="231F20"/>
          <w:szCs w:val="24"/>
        </w:rPr>
        <w:t>perspectives</w:t>
      </w:r>
      <w:r w:rsidR="00F00DF5" w:rsidRPr="00A57E6B">
        <w:rPr>
          <w:rFonts w:cs="TimesNewRomanPS"/>
          <w:color w:val="231F20"/>
          <w:szCs w:val="24"/>
        </w:rPr>
        <w:t xml:space="preserve"> </w:t>
      </w:r>
      <w:r w:rsidRPr="00A57E6B">
        <w:rPr>
          <w:rFonts w:cs="TimesNewRomanPS"/>
          <w:color w:val="231F20"/>
          <w:szCs w:val="24"/>
        </w:rPr>
        <w:t xml:space="preserve">(Imtoual, </w:t>
      </w:r>
      <w:r w:rsidR="00BF0687">
        <w:rPr>
          <w:rFonts w:cs="TimesNewRomanPS"/>
          <w:color w:val="231F20"/>
          <w:szCs w:val="24"/>
        </w:rPr>
        <w:t>et al.</w:t>
      </w:r>
      <w:r w:rsidRPr="00A57E6B">
        <w:rPr>
          <w:rFonts w:cs="TimesNewRomanPS"/>
          <w:color w:val="231F20"/>
          <w:szCs w:val="24"/>
        </w:rPr>
        <w:t xml:space="preserve">, 2009; Harrison </w:t>
      </w:r>
      <w:r>
        <w:rPr>
          <w:rFonts w:cs="TimesNewRomanPS"/>
          <w:color w:val="231F20"/>
          <w:szCs w:val="24"/>
        </w:rPr>
        <w:t>and</w:t>
      </w:r>
      <w:r w:rsidRPr="00A57E6B">
        <w:rPr>
          <w:rFonts w:cs="TimesNewRomanPS"/>
          <w:color w:val="231F20"/>
          <w:szCs w:val="24"/>
        </w:rPr>
        <w:t xml:space="preserve"> Greenfield, 2011). The language and strategies that professionals use can either disadvantage or advantage </w:t>
      </w:r>
      <w:r w:rsidR="00F00DF5">
        <w:rPr>
          <w:rFonts w:cs="TimesNewRomanPS"/>
          <w:color w:val="231F20"/>
          <w:szCs w:val="24"/>
        </w:rPr>
        <w:t xml:space="preserve">Aboriginal </w:t>
      </w:r>
      <w:r>
        <w:rPr>
          <w:rFonts w:cs="TimesNewRomanPS"/>
          <w:color w:val="231F20"/>
          <w:szCs w:val="24"/>
        </w:rPr>
        <w:t>children. Early childhood professionals</w:t>
      </w:r>
      <w:r w:rsidRPr="00A57E6B">
        <w:rPr>
          <w:rFonts w:cs="TimesNewRomanPS"/>
          <w:color w:val="231F20"/>
          <w:szCs w:val="24"/>
        </w:rPr>
        <w:t xml:space="preserve"> must familiarise themselves with </w:t>
      </w:r>
      <w:r w:rsidR="00F00DF5">
        <w:rPr>
          <w:rFonts w:cs="TimesNewRomanPS"/>
          <w:color w:val="231F20"/>
          <w:szCs w:val="24"/>
        </w:rPr>
        <w:t>Aboriginal</w:t>
      </w:r>
      <w:r w:rsidRPr="00A57E6B">
        <w:rPr>
          <w:rFonts w:cs="TimesNewRomanPS"/>
          <w:color w:val="231F20"/>
          <w:szCs w:val="24"/>
        </w:rPr>
        <w:t xml:space="preserve"> know</w:t>
      </w:r>
      <w:r w:rsidR="00F00DF5">
        <w:rPr>
          <w:rFonts w:cs="TimesNewRomanPS"/>
          <w:color w:val="231F20"/>
          <w:szCs w:val="24"/>
        </w:rPr>
        <w:t>ledge and perspectives</w:t>
      </w:r>
      <w:r w:rsidRPr="00A57E6B">
        <w:rPr>
          <w:rFonts w:cs="TimesNewRomanPS"/>
          <w:color w:val="231F20"/>
          <w:szCs w:val="24"/>
        </w:rPr>
        <w:t xml:space="preserve"> in order to support children’s learning and development (Warren </w:t>
      </w:r>
      <w:r>
        <w:rPr>
          <w:rFonts w:cs="TimesNewRomanPS"/>
          <w:color w:val="231F20"/>
          <w:szCs w:val="24"/>
        </w:rPr>
        <w:t>and</w:t>
      </w:r>
      <w:r w:rsidRPr="00A57E6B">
        <w:rPr>
          <w:rFonts w:cs="TimesNewRomanPS"/>
          <w:color w:val="231F20"/>
          <w:szCs w:val="24"/>
        </w:rPr>
        <w:t xml:space="preserve"> Devries, 2010; Freeman </w:t>
      </w:r>
      <w:r>
        <w:rPr>
          <w:rFonts w:cs="TimesNewRomanPS"/>
          <w:color w:val="231F20"/>
          <w:szCs w:val="24"/>
        </w:rPr>
        <w:t>and</w:t>
      </w:r>
      <w:r w:rsidRPr="00A57E6B">
        <w:rPr>
          <w:rFonts w:cs="TimesNewRomanPS"/>
          <w:color w:val="231F20"/>
          <w:szCs w:val="24"/>
        </w:rPr>
        <w:t xml:space="preserve"> Bochner; 2008). </w:t>
      </w:r>
    </w:p>
    <w:p w:rsidR="002E17D1" w:rsidRPr="00A57E6B" w:rsidRDefault="002E17D1" w:rsidP="002E17D1">
      <w:pPr>
        <w:autoSpaceDE w:val="0"/>
        <w:autoSpaceDN w:val="0"/>
        <w:adjustRightInd w:val="0"/>
        <w:spacing w:after="0" w:line="240" w:lineRule="auto"/>
        <w:jc w:val="left"/>
        <w:rPr>
          <w:rFonts w:cs="TimesNewRomanPS"/>
          <w:color w:val="231F20"/>
          <w:szCs w:val="24"/>
        </w:rPr>
      </w:pPr>
    </w:p>
    <w:p w:rsidR="002E17D1" w:rsidRPr="00A57E6B" w:rsidRDefault="002E17D1" w:rsidP="002E17D1">
      <w:pPr>
        <w:rPr>
          <w:rFonts w:cs="Arial"/>
          <w:szCs w:val="24"/>
        </w:rPr>
      </w:pPr>
      <w:r w:rsidRPr="00A57E6B">
        <w:rPr>
          <w:rFonts w:cs="Arial"/>
          <w:szCs w:val="24"/>
        </w:rPr>
        <w:t xml:space="preserve">There are many complex, interconnected factors that impact on </w:t>
      </w:r>
      <w:r>
        <w:rPr>
          <w:rFonts w:cs="Arial"/>
          <w:szCs w:val="24"/>
        </w:rPr>
        <w:t>Aboriginal</w:t>
      </w:r>
      <w:r w:rsidRPr="00A57E6B">
        <w:rPr>
          <w:rFonts w:cs="Arial"/>
          <w:szCs w:val="24"/>
        </w:rPr>
        <w:t xml:space="preserve"> children’s engagement in early childhood settings. The history of discrimination, the impact of the stolen generations, and systemic devaluing of </w:t>
      </w:r>
      <w:r w:rsidR="00F00DF5">
        <w:rPr>
          <w:rFonts w:cs="Arial"/>
          <w:szCs w:val="24"/>
        </w:rPr>
        <w:t>Aboriginal</w:t>
      </w:r>
      <w:r w:rsidR="00F00DF5" w:rsidRPr="00A57E6B">
        <w:rPr>
          <w:rFonts w:cs="Arial"/>
          <w:szCs w:val="24"/>
        </w:rPr>
        <w:t xml:space="preserve"> </w:t>
      </w:r>
      <w:r w:rsidRPr="00A57E6B">
        <w:rPr>
          <w:rFonts w:cs="Arial"/>
          <w:szCs w:val="24"/>
        </w:rPr>
        <w:t xml:space="preserve">culture, language and traditions in Australia impact on the way that families view early childhood settings today (Kitson, </w:t>
      </w:r>
      <w:r>
        <w:rPr>
          <w:rFonts w:cs="Arial"/>
          <w:szCs w:val="24"/>
        </w:rPr>
        <w:t>and</w:t>
      </w:r>
      <w:r w:rsidRPr="00A57E6B">
        <w:rPr>
          <w:rFonts w:cs="Arial"/>
          <w:szCs w:val="24"/>
        </w:rPr>
        <w:t xml:space="preserve"> Bowes, 2010). With this in mind it is imperative that educators challenge the dominant discourses and are active in understanding and incorporating </w:t>
      </w:r>
      <w:r>
        <w:rPr>
          <w:rFonts w:cs="Arial"/>
          <w:szCs w:val="24"/>
        </w:rPr>
        <w:t>Aboriginal perspectives</w:t>
      </w:r>
      <w:r w:rsidRPr="00A57E6B">
        <w:rPr>
          <w:rFonts w:cs="Arial"/>
          <w:szCs w:val="24"/>
        </w:rPr>
        <w:t xml:space="preserve"> into early childhood sett</w:t>
      </w:r>
      <w:r w:rsidR="003F63B5">
        <w:rPr>
          <w:rFonts w:cs="Arial"/>
          <w:szCs w:val="24"/>
        </w:rPr>
        <w:t>ings. Professionals also need to</w:t>
      </w:r>
      <w:r w:rsidRPr="00A57E6B">
        <w:rPr>
          <w:rFonts w:cs="Arial"/>
          <w:szCs w:val="24"/>
        </w:rPr>
        <w:t xml:space="preserve"> understand that </w:t>
      </w:r>
      <w:r w:rsidR="008725F8">
        <w:rPr>
          <w:rFonts w:cs="Arial"/>
          <w:szCs w:val="24"/>
        </w:rPr>
        <w:t>Aboriginal</w:t>
      </w:r>
      <w:r w:rsidR="008725F8" w:rsidRPr="00A57E6B">
        <w:rPr>
          <w:rFonts w:cs="Arial"/>
          <w:szCs w:val="24"/>
        </w:rPr>
        <w:t xml:space="preserve"> </w:t>
      </w:r>
      <w:r w:rsidRPr="00A57E6B">
        <w:rPr>
          <w:rFonts w:cs="Arial"/>
          <w:szCs w:val="24"/>
        </w:rPr>
        <w:t>families, like all families</w:t>
      </w:r>
      <w:r w:rsidR="008725F8">
        <w:rPr>
          <w:rFonts w:cs="Arial"/>
          <w:szCs w:val="24"/>
        </w:rPr>
        <w:t>,</w:t>
      </w:r>
      <w:r w:rsidRPr="00A57E6B">
        <w:rPr>
          <w:rFonts w:cs="Arial"/>
          <w:szCs w:val="24"/>
        </w:rPr>
        <w:t xml:space="preserve"> can be faced with a complex range of issues including poverty, mental illness, loss of family and isolation that will require additional support to thrive in an early childhood setting (Freeman </w:t>
      </w:r>
      <w:r>
        <w:rPr>
          <w:rFonts w:cs="Arial"/>
          <w:szCs w:val="24"/>
        </w:rPr>
        <w:t>and</w:t>
      </w:r>
      <w:r w:rsidRPr="00A57E6B">
        <w:rPr>
          <w:rFonts w:cs="Arial"/>
          <w:szCs w:val="24"/>
        </w:rPr>
        <w:t xml:space="preserve"> Bochner, 2008).  </w:t>
      </w:r>
    </w:p>
    <w:p w:rsidR="002E17D1" w:rsidRDefault="002E17D1" w:rsidP="002E17D1">
      <w:pPr>
        <w:rPr>
          <w:rFonts w:cs="Arial"/>
          <w:i/>
          <w:szCs w:val="24"/>
        </w:rPr>
      </w:pPr>
    </w:p>
    <w:p w:rsidR="002E17D1" w:rsidRPr="00A57E6B" w:rsidRDefault="002E17D1" w:rsidP="002E17D1">
      <w:pPr>
        <w:pStyle w:val="Heading3"/>
      </w:pPr>
      <w:bookmarkStart w:id="32" w:name="_Toc166906044"/>
      <w:bookmarkStart w:id="33" w:name="_Toc174694425"/>
      <w:r w:rsidRPr="00A57E6B">
        <w:t>Promoting a sense of place and connection to the community</w:t>
      </w:r>
      <w:r>
        <w:t xml:space="preserve"> and the environment</w:t>
      </w:r>
      <w:r w:rsidRPr="00A57E6B">
        <w:t xml:space="preserve"> is beneficial to all children’s development.</w:t>
      </w:r>
      <w:bookmarkEnd w:id="32"/>
      <w:bookmarkEnd w:id="33"/>
      <w:r w:rsidRPr="00A57E6B">
        <w:t xml:space="preserve"> </w:t>
      </w:r>
    </w:p>
    <w:p w:rsidR="006A7C1A" w:rsidRDefault="002E17D1" w:rsidP="002E17D1">
      <w:pPr>
        <w:rPr>
          <w:rFonts w:cs="Arial"/>
          <w:szCs w:val="24"/>
        </w:rPr>
      </w:pPr>
      <w:r>
        <w:rPr>
          <w:rFonts w:cs="Arial"/>
          <w:szCs w:val="24"/>
        </w:rPr>
        <w:t>Every child’s experience of community is different and therefore complex to define. Bronfenbrenner’s (1979) ecological model identifies multiple intersecting systems that influence a child’s experience of community, both directly and indirectly. Community can be made up of the people, places, values, relationships and outside influences that affect a family including religion, socio-economic status, crime, employment, safety</w:t>
      </w:r>
      <w:r w:rsidR="008725F8">
        <w:rPr>
          <w:rFonts w:cs="Arial"/>
          <w:szCs w:val="24"/>
        </w:rPr>
        <w:t xml:space="preserve"> and</w:t>
      </w:r>
      <w:r>
        <w:rPr>
          <w:rFonts w:cs="Arial"/>
          <w:szCs w:val="24"/>
        </w:rPr>
        <w:t xml:space="preserve"> dominant culture (Woodhead, 2006). Sense of belonging to place and</w:t>
      </w:r>
      <w:r w:rsidRPr="00A57E6B">
        <w:rPr>
          <w:rFonts w:cs="Arial"/>
          <w:szCs w:val="24"/>
        </w:rPr>
        <w:t xml:space="preserve"> community is linked to wellbeing and identity (Fettes </w:t>
      </w:r>
      <w:r>
        <w:rPr>
          <w:rFonts w:cs="Arial"/>
          <w:szCs w:val="24"/>
        </w:rPr>
        <w:t>and</w:t>
      </w:r>
      <w:r w:rsidRPr="00A57E6B">
        <w:rPr>
          <w:rFonts w:cs="Arial"/>
          <w:szCs w:val="24"/>
        </w:rPr>
        <w:t xml:space="preserve"> Judson, 2010). </w:t>
      </w:r>
    </w:p>
    <w:p w:rsidR="006A7C1A" w:rsidRDefault="003F63B5" w:rsidP="002E17D1">
      <w:pPr>
        <w:rPr>
          <w:rFonts w:cs="Arial"/>
          <w:szCs w:val="24"/>
        </w:rPr>
      </w:pPr>
      <w:r>
        <w:rPr>
          <w:rFonts w:cs="Arial"/>
          <w:szCs w:val="24"/>
        </w:rPr>
        <w:t xml:space="preserve">The term </w:t>
      </w:r>
      <w:r w:rsidR="002E17D1" w:rsidRPr="00A57E6B">
        <w:rPr>
          <w:rFonts w:cs="Arial"/>
          <w:szCs w:val="24"/>
        </w:rPr>
        <w:t xml:space="preserve">‘place based’ education </w:t>
      </w:r>
      <w:r w:rsidR="008725F8">
        <w:rPr>
          <w:rFonts w:cs="Arial"/>
          <w:szCs w:val="24"/>
        </w:rPr>
        <w:t xml:space="preserve">and care </w:t>
      </w:r>
      <w:r>
        <w:rPr>
          <w:rFonts w:cs="Arial"/>
          <w:szCs w:val="24"/>
        </w:rPr>
        <w:t>refers to</w:t>
      </w:r>
      <w:r w:rsidR="002E17D1" w:rsidRPr="00A57E6B">
        <w:rPr>
          <w:rFonts w:cs="Arial"/>
          <w:szCs w:val="24"/>
        </w:rPr>
        <w:t xml:space="preserve"> place as a shared, living entity that involves interactions with the environment, people, time and experiences. </w:t>
      </w:r>
      <w:r>
        <w:rPr>
          <w:rFonts w:cs="Arial"/>
          <w:szCs w:val="24"/>
        </w:rPr>
        <w:t>The term relates to</w:t>
      </w:r>
      <w:r w:rsidR="002E17D1" w:rsidRPr="00A57E6B">
        <w:rPr>
          <w:rFonts w:cs="Arial"/>
          <w:szCs w:val="24"/>
        </w:rPr>
        <w:t xml:space="preserve"> the meanings, feelings, memories and history associated with spaces</w:t>
      </w:r>
      <w:r w:rsidR="008725F8">
        <w:rPr>
          <w:rFonts w:cs="Arial"/>
          <w:szCs w:val="24"/>
        </w:rPr>
        <w:t>;</w:t>
      </w:r>
      <w:r w:rsidR="002E17D1" w:rsidRPr="00A57E6B">
        <w:rPr>
          <w:rFonts w:cs="Arial"/>
          <w:szCs w:val="24"/>
        </w:rPr>
        <w:t xml:space="preserve"> places have many voices, not just one (Eijck </w:t>
      </w:r>
      <w:r w:rsidR="002E17D1">
        <w:rPr>
          <w:rFonts w:cs="Arial"/>
          <w:szCs w:val="24"/>
        </w:rPr>
        <w:t>and</w:t>
      </w:r>
      <w:r w:rsidR="002E17D1" w:rsidRPr="00A57E6B">
        <w:rPr>
          <w:rFonts w:cs="Arial"/>
          <w:szCs w:val="24"/>
        </w:rPr>
        <w:t xml:space="preserve"> Roth, 2010; Kernan, 2010; Fettes, </w:t>
      </w:r>
      <w:r w:rsidR="002E17D1">
        <w:rPr>
          <w:rFonts w:cs="Arial"/>
          <w:szCs w:val="24"/>
        </w:rPr>
        <w:t>and</w:t>
      </w:r>
      <w:r w:rsidR="002E17D1" w:rsidRPr="00A57E6B">
        <w:rPr>
          <w:rFonts w:cs="Arial"/>
          <w:szCs w:val="24"/>
        </w:rPr>
        <w:t xml:space="preserve"> Judson, 2010). </w:t>
      </w:r>
      <w:r w:rsidR="008725F8">
        <w:rPr>
          <w:rFonts w:cs="Arial"/>
          <w:szCs w:val="24"/>
        </w:rPr>
        <w:t>Aboriginal</w:t>
      </w:r>
      <w:r w:rsidR="008725F8" w:rsidRPr="00A57E6B">
        <w:rPr>
          <w:rFonts w:cs="Arial"/>
          <w:szCs w:val="24"/>
        </w:rPr>
        <w:t xml:space="preserve"> </w:t>
      </w:r>
      <w:r w:rsidR="002E17D1" w:rsidRPr="00A57E6B">
        <w:rPr>
          <w:rFonts w:cs="Arial"/>
          <w:szCs w:val="24"/>
        </w:rPr>
        <w:t xml:space="preserve">understandings of and connection to place provide a rich foundation for exploring place with young children (Harrison </w:t>
      </w:r>
      <w:r w:rsidR="002E17D1">
        <w:rPr>
          <w:rFonts w:cs="Arial"/>
          <w:szCs w:val="24"/>
        </w:rPr>
        <w:t>and</w:t>
      </w:r>
      <w:r w:rsidR="002E17D1" w:rsidRPr="00A57E6B">
        <w:rPr>
          <w:rFonts w:cs="Arial"/>
          <w:szCs w:val="24"/>
        </w:rPr>
        <w:t xml:space="preserve"> Greenfield, 2011).</w:t>
      </w:r>
      <w:r w:rsidR="002E17D1">
        <w:rPr>
          <w:rFonts w:cs="Arial"/>
          <w:szCs w:val="24"/>
        </w:rPr>
        <w:t xml:space="preserve"> </w:t>
      </w:r>
    </w:p>
    <w:p w:rsidR="002E17D1" w:rsidRDefault="002E17D1" w:rsidP="002E17D1">
      <w:pPr>
        <w:rPr>
          <w:rFonts w:cs="Arial"/>
          <w:szCs w:val="24"/>
        </w:rPr>
      </w:pPr>
      <w:r>
        <w:rPr>
          <w:rFonts w:cs="Arial"/>
          <w:szCs w:val="24"/>
        </w:rPr>
        <w:t>Atkinson (</w:t>
      </w:r>
      <w:r w:rsidR="00F53DC7" w:rsidRPr="00F53DC7">
        <w:rPr>
          <w:rFonts w:cs="Arial"/>
          <w:szCs w:val="24"/>
        </w:rPr>
        <w:t>Atkinson, Nelson &amp; Atkinson, 2009</w:t>
      </w:r>
      <w:r>
        <w:rPr>
          <w:rFonts w:cs="Arial"/>
          <w:szCs w:val="24"/>
        </w:rPr>
        <w:t>)</w:t>
      </w:r>
      <w:r w:rsidRPr="00A57E6B">
        <w:rPr>
          <w:rFonts w:cs="Arial"/>
          <w:szCs w:val="24"/>
        </w:rPr>
        <w:t xml:space="preserve"> </w:t>
      </w:r>
      <w:r>
        <w:rPr>
          <w:rFonts w:cs="Arial"/>
          <w:szCs w:val="24"/>
        </w:rPr>
        <w:t xml:space="preserve">recognises the value and empowerment that Aboriginal elders bring to early childhood education. Through traditions, stories, </w:t>
      </w:r>
      <w:r w:rsidR="00BF0687">
        <w:rPr>
          <w:rFonts w:cs="Arial"/>
          <w:szCs w:val="24"/>
        </w:rPr>
        <w:t>and Aboriginal</w:t>
      </w:r>
      <w:r w:rsidR="008725F8">
        <w:rPr>
          <w:rFonts w:cs="Arial"/>
          <w:szCs w:val="24"/>
        </w:rPr>
        <w:t xml:space="preserve"> </w:t>
      </w:r>
      <w:r>
        <w:rPr>
          <w:rFonts w:cs="Arial"/>
          <w:szCs w:val="24"/>
        </w:rPr>
        <w:t>ways of knowing</w:t>
      </w:r>
      <w:r w:rsidR="008725F8">
        <w:rPr>
          <w:rFonts w:cs="Arial"/>
          <w:szCs w:val="24"/>
        </w:rPr>
        <w:t>,</w:t>
      </w:r>
      <w:r>
        <w:rPr>
          <w:rFonts w:cs="Arial"/>
          <w:szCs w:val="24"/>
        </w:rPr>
        <w:t xml:space="preserve"> elders connect young children to their community, their personal history and their place, all of which empowers their sense of identity </w:t>
      </w:r>
      <w:r w:rsidR="008725F8">
        <w:rPr>
          <w:rFonts w:cs="Arial"/>
          <w:szCs w:val="24"/>
        </w:rPr>
        <w:t>and</w:t>
      </w:r>
      <w:r>
        <w:rPr>
          <w:rFonts w:cs="Arial"/>
          <w:szCs w:val="24"/>
        </w:rPr>
        <w:t xml:space="preserve"> belonging (Atkinson, </w:t>
      </w:r>
      <w:r w:rsidR="00F53DC7">
        <w:rPr>
          <w:rFonts w:cs="Arial"/>
          <w:szCs w:val="24"/>
        </w:rPr>
        <w:t xml:space="preserve">et al., </w:t>
      </w:r>
      <w:r>
        <w:rPr>
          <w:rFonts w:cs="Arial"/>
          <w:szCs w:val="24"/>
        </w:rPr>
        <w:t>200</w:t>
      </w:r>
      <w:r w:rsidR="00F53DC7">
        <w:rPr>
          <w:rFonts w:cs="Arial"/>
          <w:szCs w:val="24"/>
        </w:rPr>
        <w:t>9</w:t>
      </w:r>
      <w:r w:rsidR="00820085">
        <w:rPr>
          <w:rFonts w:cs="Arial"/>
          <w:szCs w:val="24"/>
        </w:rPr>
        <w:t>;</w:t>
      </w:r>
      <w:r w:rsidRPr="003A03F1">
        <w:rPr>
          <w:szCs w:val="24"/>
        </w:rPr>
        <w:t xml:space="preserve"> </w:t>
      </w:r>
      <w:r w:rsidRPr="00A57E6B">
        <w:rPr>
          <w:szCs w:val="24"/>
        </w:rPr>
        <w:t xml:space="preserve">Guilfoyle, Saggers, Sims </w:t>
      </w:r>
      <w:r>
        <w:rPr>
          <w:szCs w:val="24"/>
        </w:rPr>
        <w:t>and</w:t>
      </w:r>
      <w:r w:rsidRPr="00A57E6B">
        <w:rPr>
          <w:szCs w:val="24"/>
        </w:rPr>
        <w:t xml:space="preserve"> Hutchins, 2</w:t>
      </w:r>
      <w:r>
        <w:rPr>
          <w:szCs w:val="24"/>
        </w:rPr>
        <w:t>010)</w:t>
      </w:r>
      <w:r>
        <w:rPr>
          <w:rFonts w:cs="Arial"/>
          <w:szCs w:val="24"/>
        </w:rPr>
        <w:t xml:space="preserve">. </w:t>
      </w:r>
    </w:p>
    <w:p w:rsidR="002E17D1" w:rsidRPr="00A57E6B" w:rsidRDefault="002E17D1" w:rsidP="002E17D1">
      <w:pPr>
        <w:rPr>
          <w:rFonts w:cs="Arial"/>
          <w:szCs w:val="24"/>
        </w:rPr>
      </w:pPr>
      <w:r w:rsidRPr="00A57E6B">
        <w:rPr>
          <w:rFonts w:cs="Arial"/>
          <w:szCs w:val="24"/>
        </w:rPr>
        <w:t>Children learn best when they can make meaningful connections with their surroundings and environment. As more and more children live in urban environments</w:t>
      </w:r>
      <w:r>
        <w:rPr>
          <w:rFonts w:cs="Arial"/>
          <w:szCs w:val="24"/>
        </w:rPr>
        <w:t>,</w:t>
      </w:r>
      <w:r w:rsidRPr="00A57E6B">
        <w:rPr>
          <w:rFonts w:cs="Arial"/>
          <w:szCs w:val="24"/>
        </w:rPr>
        <w:t xml:space="preserve"> early childhood settings can provide the connection points or ‘bridges’ between the home and the wider community (Kernan, 2010). There are also some professionals who believe that technology and sedentary lifestyles are isolating children from their local </w:t>
      </w:r>
      <w:r>
        <w:rPr>
          <w:rFonts w:cs="Arial"/>
          <w:szCs w:val="24"/>
        </w:rPr>
        <w:t xml:space="preserve">physical </w:t>
      </w:r>
      <w:r w:rsidRPr="00A57E6B">
        <w:rPr>
          <w:rFonts w:cs="Arial"/>
          <w:szCs w:val="24"/>
        </w:rPr>
        <w:t xml:space="preserve">environments (Lewis, Mansfield </w:t>
      </w:r>
      <w:r>
        <w:rPr>
          <w:rFonts w:cs="Arial"/>
          <w:szCs w:val="24"/>
        </w:rPr>
        <w:t>and</w:t>
      </w:r>
      <w:r w:rsidRPr="00A57E6B">
        <w:rPr>
          <w:rFonts w:cs="Arial"/>
          <w:szCs w:val="24"/>
        </w:rPr>
        <w:t xml:space="preserve"> Baudains, 2010). </w:t>
      </w:r>
      <w:r>
        <w:rPr>
          <w:rFonts w:cs="Arial"/>
          <w:szCs w:val="24"/>
        </w:rPr>
        <w:t>Children’s sense of place and</w:t>
      </w:r>
      <w:r w:rsidRPr="00A57E6B">
        <w:rPr>
          <w:rFonts w:cs="Arial"/>
          <w:szCs w:val="24"/>
        </w:rPr>
        <w:t xml:space="preserve"> belonging is linked </w:t>
      </w:r>
      <w:r>
        <w:rPr>
          <w:rFonts w:cs="Arial"/>
          <w:szCs w:val="24"/>
        </w:rPr>
        <w:t>to attitudes of sustainability and</w:t>
      </w:r>
      <w:r w:rsidRPr="00A57E6B">
        <w:rPr>
          <w:rFonts w:cs="Arial"/>
          <w:szCs w:val="24"/>
        </w:rPr>
        <w:t xml:space="preserve"> responsibility towards the environment. A case study of three early childhood sustainability projects in Wester</w:t>
      </w:r>
      <w:r>
        <w:rPr>
          <w:rFonts w:cs="Arial"/>
          <w:szCs w:val="24"/>
        </w:rPr>
        <w:t xml:space="preserve">n Australia revealed that hands-on, </w:t>
      </w:r>
      <w:r w:rsidR="008725F8">
        <w:rPr>
          <w:rFonts w:cs="Arial"/>
          <w:szCs w:val="24"/>
        </w:rPr>
        <w:t>child</w:t>
      </w:r>
      <w:r>
        <w:rPr>
          <w:rFonts w:cs="Arial"/>
          <w:szCs w:val="24"/>
        </w:rPr>
        <w:t>-le</w:t>
      </w:r>
      <w:r w:rsidRPr="00A57E6B">
        <w:rPr>
          <w:rFonts w:cs="Arial"/>
          <w:szCs w:val="24"/>
        </w:rPr>
        <w:t xml:space="preserve">d projects empowered children to take action and responsibility in their local environment and strengthened their attachment to place (Lewis, </w:t>
      </w:r>
      <w:r w:rsidR="00BF0687">
        <w:rPr>
          <w:rFonts w:cs="Arial"/>
          <w:szCs w:val="24"/>
        </w:rPr>
        <w:t>et al.</w:t>
      </w:r>
      <w:r w:rsidRPr="00A57E6B">
        <w:rPr>
          <w:rFonts w:cs="Arial"/>
          <w:szCs w:val="24"/>
        </w:rPr>
        <w:t>, 2010). Given these concerns</w:t>
      </w:r>
      <w:r>
        <w:rPr>
          <w:rFonts w:cs="Arial"/>
          <w:szCs w:val="24"/>
        </w:rPr>
        <w:t>,</w:t>
      </w:r>
      <w:r w:rsidRPr="00A57E6B">
        <w:rPr>
          <w:rFonts w:cs="Arial"/>
          <w:szCs w:val="24"/>
        </w:rPr>
        <w:t xml:space="preserve"> it is increasingly the responsibility of </w:t>
      </w:r>
      <w:r>
        <w:rPr>
          <w:rFonts w:cs="Arial"/>
          <w:szCs w:val="24"/>
        </w:rPr>
        <w:t xml:space="preserve">early childhood </w:t>
      </w:r>
      <w:r w:rsidRPr="00A57E6B">
        <w:rPr>
          <w:rFonts w:cs="Arial"/>
          <w:szCs w:val="24"/>
        </w:rPr>
        <w:t xml:space="preserve">professionals to provide spaces that are respectful, inclusive, inspiring, that offer a range of experiences, that encourage interactions with others and the environment and that allow children to experience the world as their own (Kernan, 2010). </w:t>
      </w:r>
    </w:p>
    <w:p w:rsidR="002E17D1" w:rsidRPr="00A57E6B" w:rsidRDefault="002E17D1" w:rsidP="002E17D1">
      <w:pPr>
        <w:rPr>
          <w:szCs w:val="24"/>
        </w:rPr>
      </w:pPr>
    </w:p>
    <w:p w:rsidR="002E17D1" w:rsidRPr="00A57E6B" w:rsidRDefault="002E17D1" w:rsidP="002E17D1">
      <w:pPr>
        <w:pStyle w:val="Heading2"/>
      </w:pPr>
      <w:bookmarkStart w:id="34" w:name="_Toc150921272"/>
      <w:bookmarkStart w:id="35" w:name="_Toc158862711"/>
      <w:bookmarkStart w:id="36" w:name="_Toc166906045"/>
      <w:bookmarkStart w:id="37" w:name="_Toc174694426"/>
      <w:r w:rsidRPr="00A57E6B">
        <w:t>How can we achieve best practice?</w:t>
      </w:r>
      <w:bookmarkEnd w:id="34"/>
      <w:bookmarkEnd w:id="35"/>
      <w:bookmarkEnd w:id="36"/>
      <w:bookmarkEnd w:id="37"/>
    </w:p>
    <w:p w:rsidR="002E17D1" w:rsidRPr="00A57E6B" w:rsidRDefault="002E17D1" w:rsidP="002E17D1">
      <w:pPr>
        <w:pStyle w:val="Heading3"/>
      </w:pPr>
      <w:bookmarkStart w:id="38" w:name="_Toc166906046"/>
      <w:bookmarkStart w:id="39" w:name="_Toc174694427"/>
      <w:r w:rsidRPr="00A57E6B">
        <w:t>Early childhood professionals assess children’s learning and development and provide individualised support to achieve best outcomes.</w:t>
      </w:r>
      <w:bookmarkEnd w:id="38"/>
      <w:bookmarkEnd w:id="39"/>
    </w:p>
    <w:p w:rsidR="002E17D1" w:rsidRPr="00A57E6B" w:rsidRDefault="002E17D1" w:rsidP="002E17D1">
      <w:pPr>
        <w:rPr>
          <w:szCs w:val="24"/>
        </w:rPr>
      </w:pPr>
      <w:r w:rsidRPr="00A57E6B">
        <w:rPr>
          <w:szCs w:val="24"/>
        </w:rPr>
        <w:t xml:space="preserve">Assessment of children’s strengths, abilities and </w:t>
      </w:r>
      <w:r w:rsidR="008725F8">
        <w:rPr>
          <w:szCs w:val="24"/>
        </w:rPr>
        <w:t>interests</w:t>
      </w:r>
      <w:r w:rsidR="008725F8" w:rsidRPr="00A57E6B">
        <w:rPr>
          <w:szCs w:val="24"/>
        </w:rPr>
        <w:t xml:space="preserve"> </w:t>
      </w:r>
      <w:r w:rsidRPr="00A57E6B">
        <w:rPr>
          <w:szCs w:val="24"/>
        </w:rPr>
        <w:t>is necessary to provide responsive care and education. Professionals assess children to learn about what they know, their strengths</w:t>
      </w:r>
      <w:r>
        <w:rPr>
          <w:szCs w:val="24"/>
        </w:rPr>
        <w:t xml:space="preserve"> and abilities</w:t>
      </w:r>
      <w:r w:rsidRPr="00A57E6B">
        <w:rPr>
          <w:szCs w:val="24"/>
        </w:rPr>
        <w:t>, where they need support and to identify areas where focused intervention is needed. Professionals need both an</w:t>
      </w:r>
      <w:r>
        <w:rPr>
          <w:szCs w:val="24"/>
        </w:rPr>
        <w:t xml:space="preserve"> understanding of </w:t>
      </w:r>
      <w:r w:rsidRPr="00A57E6B">
        <w:rPr>
          <w:szCs w:val="24"/>
        </w:rPr>
        <w:t>child development</w:t>
      </w:r>
      <w:r>
        <w:rPr>
          <w:szCs w:val="24"/>
        </w:rPr>
        <w:t xml:space="preserve"> norms </w:t>
      </w:r>
      <w:r w:rsidRPr="00A57E6B">
        <w:rPr>
          <w:szCs w:val="24"/>
        </w:rPr>
        <w:t xml:space="preserve">as well as an understanding of equity and diversity to assess children. Families and carers have a wealth of knowledge about their child which should be utilised in the assessment process, as well as considerations of context and child outcomes (Bagnato, 2006). Partnerships </w:t>
      </w:r>
      <w:r w:rsidR="008725F8">
        <w:rPr>
          <w:szCs w:val="24"/>
        </w:rPr>
        <w:t>between</w:t>
      </w:r>
      <w:r w:rsidRPr="00A57E6B">
        <w:rPr>
          <w:szCs w:val="24"/>
        </w:rPr>
        <w:t xml:space="preserve"> professionals assist early childhood </w:t>
      </w:r>
      <w:r w:rsidR="008725F8">
        <w:rPr>
          <w:szCs w:val="24"/>
        </w:rPr>
        <w:t>professionals</w:t>
      </w:r>
      <w:r w:rsidR="008725F8" w:rsidRPr="00A57E6B">
        <w:rPr>
          <w:szCs w:val="24"/>
        </w:rPr>
        <w:t xml:space="preserve"> </w:t>
      </w:r>
      <w:r w:rsidRPr="00A57E6B">
        <w:rPr>
          <w:szCs w:val="24"/>
        </w:rPr>
        <w:t xml:space="preserve">to support diverse learners </w:t>
      </w:r>
      <w:r w:rsidR="008725F8">
        <w:rPr>
          <w:szCs w:val="24"/>
        </w:rPr>
        <w:t xml:space="preserve">by contributing to holistic understanding and assessment of each child’s learning and development </w:t>
      </w:r>
      <w:r w:rsidRPr="00A57E6B">
        <w:rPr>
          <w:szCs w:val="24"/>
        </w:rPr>
        <w:t xml:space="preserve">(Bagnato, </w:t>
      </w:r>
      <w:r w:rsidR="00BF0687">
        <w:rPr>
          <w:szCs w:val="24"/>
        </w:rPr>
        <w:t>et al.</w:t>
      </w:r>
      <w:r w:rsidRPr="00A57E6B">
        <w:rPr>
          <w:szCs w:val="24"/>
        </w:rPr>
        <w:t xml:space="preserve">, 2004). It is important to understand that families will respond to assessment in unique ways, and it </w:t>
      </w:r>
      <w:r w:rsidR="008725F8">
        <w:rPr>
          <w:szCs w:val="24"/>
        </w:rPr>
        <w:t>is important</w:t>
      </w:r>
      <w:r w:rsidRPr="00A57E6B">
        <w:rPr>
          <w:szCs w:val="24"/>
        </w:rPr>
        <w:t xml:space="preserve"> to offer family support or referrals in certain cases (Talay-Ongan, 2004). </w:t>
      </w:r>
    </w:p>
    <w:p w:rsidR="002E17D1" w:rsidRPr="00A57E6B" w:rsidRDefault="002E17D1" w:rsidP="002E17D1">
      <w:pPr>
        <w:rPr>
          <w:szCs w:val="24"/>
        </w:rPr>
      </w:pPr>
      <w:r>
        <w:rPr>
          <w:szCs w:val="24"/>
        </w:rPr>
        <w:t xml:space="preserve">Individualised or </w:t>
      </w:r>
      <w:r w:rsidRPr="00A57E6B">
        <w:rPr>
          <w:szCs w:val="24"/>
        </w:rPr>
        <w:t xml:space="preserve">differentiated support is required for each child to reach their full potential. Equity means recognising the complex nature of disadvantage and acting purposefully to address it. An example of differentiated instruction for </w:t>
      </w:r>
      <w:r w:rsidR="008725F8">
        <w:rPr>
          <w:szCs w:val="24"/>
        </w:rPr>
        <w:t>Aboriginal</w:t>
      </w:r>
      <w:r w:rsidR="008725F8" w:rsidRPr="00A57E6B">
        <w:rPr>
          <w:szCs w:val="24"/>
        </w:rPr>
        <w:t xml:space="preserve"> </w:t>
      </w:r>
      <w:r w:rsidRPr="00A57E6B">
        <w:rPr>
          <w:szCs w:val="24"/>
        </w:rPr>
        <w:t>students was the ‘Bridging the Gap’ project that aimed to support children’s literacy in the home</w:t>
      </w:r>
      <w:r w:rsidR="00820085">
        <w:rPr>
          <w:szCs w:val="24"/>
        </w:rPr>
        <w:t xml:space="preserve"> </w:t>
      </w:r>
      <w:r w:rsidR="00820085" w:rsidRPr="00A57E6B">
        <w:rPr>
          <w:szCs w:val="24"/>
        </w:rPr>
        <w:t xml:space="preserve">(Freeman </w:t>
      </w:r>
      <w:r w:rsidR="00820085">
        <w:rPr>
          <w:szCs w:val="24"/>
        </w:rPr>
        <w:t>and</w:t>
      </w:r>
      <w:r w:rsidR="00820085" w:rsidRPr="00A57E6B">
        <w:rPr>
          <w:szCs w:val="24"/>
        </w:rPr>
        <w:t xml:space="preserve"> Bochner, 2008)</w:t>
      </w:r>
      <w:r w:rsidRPr="00A57E6B">
        <w:rPr>
          <w:szCs w:val="24"/>
        </w:rPr>
        <w:t>. This initiative was designed to improve children’s early literacy which is a strong p</w:t>
      </w:r>
      <w:r>
        <w:rPr>
          <w:szCs w:val="24"/>
        </w:rPr>
        <w:t>redictor of school success. The</w:t>
      </w:r>
      <w:r w:rsidRPr="00A57E6B">
        <w:rPr>
          <w:szCs w:val="24"/>
        </w:rPr>
        <w:t xml:space="preserve"> project was based on the need of this particular community to support children’s literacy at home and it had positive effects on children’s inte</w:t>
      </w:r>
      <w:r>
        <w:rPr>
          <w:szCs w:val="24"/>
        </w:rPr>
        <w:t>ractions with books, their self-</w:t>
      </w:r>
      <w:r w:rsidRPr="00A57E6B">
        <w:rPr>
          <w:szCs w:val="24"/>
        </w:rPr>
        <w:t>esteem, their parent-child interactions and their early literacy skills. Another example of the importance of differentiated instruction is d</w:t>
      </w:r>
      <w:r>
        <w:rPr>
          <w:szCs w:val="24"/>
        </w:rPr>
        <w:t>escribed</w:t>
      </w:r>
      <w:r w:rsidRPr="00A57E6B">
        <w:rPr>
          <w:szCs w:val="24"/>
        </w:rPr>
        <w:t xml:space="preserve"> in case studies of </w:t>
      </w:r>
      <w:r>
        <w:rPr>
          <w:szCs w:val="24"/>
        </w:rPr>
        <w:t xml:space="preserve">children studying English as a second or additional language (ESL). For example, </w:t>
      </w:r>
      <w:r w:rsidRPr="00A57E6B">
        <w:rPr>
          <w:szCs w:val="24"/>
        </w:rPr>
        <w:t xml:space="preserve">Changying (2010) details how mainstream ESL practices in one school were disempowering </w:t>
      </w:r>
      <w:r>
        <w:rPr>
          <w:szCs w:val="24"/>
        </w:rPr>
        <w:t>children</w:t>
      </w:r>
      <w:r w:rsidRPr="00A57E6B">
        <w:rPr>
          <w:szCs w:val="24"/>
        </w:rPr>
        <w:t xml:space="preserve"> and limiting their ability to participate in </w:t>
      </w:r>
      <w:r w:rsidR="008725F8">
        <w:rPr>
          <w:szCs w:val="24"/>
        </w:rPr>
        <w:t>additional</w:t>
      </w:r>
      <w:r w:rsidR="008725F8" w:rsidRPr="00A57E6B">
        <w:rPr>
          <w:szCs w:val="24"/>
        </w:rPr>
        <w:t xml:space="preserve"> </w:t>
      </w:r>
      <w:r w:rsidRPr="00A57E6B">
        <w:rPr>
          <w:szCs w:val="24"/>
        </w:rPr>
        <w:t xml:space="preserve">language learning. The introduction of storytelling in the children’s first language empowered </w:t>
      </w:r>
      <w:r w:rsidR="008725F8">
        <w:rPr>
          <w:szCs w:val="24"/>
        </w:rPr>
        <w:t>children</w:t>
      </w:r>
      <w:r w:rsidR="008725F8" w:rsidRPr="00A57E6B">
        <w:rPr>
          <w:szCs w:val="24"/>
        </w:rPr>
        <w:t xml:space="preserve"> </w:t>
      </w:r>
      <w:r w:rsidRPr="00A57E6B">
        <w:rPr>
          <w:szCs w:val="24"/>
        </w:rPr>
        <w:t xml:space="preserve">and built on their strengths, enabling them to feel confident about their language abilities. </w:t>
      </w:r>
    </w:p>
    <w:p w:rsidR="002E17D1" w:rsidRDefault="002E17D1" w:rsidP="002E17D1">
      <w:pPr>
        <w:pStyle w:val="Heading3"/>
      </w:pPr>
    </w:p>
    <w:p w:rsidR="002E17D1" w:rsidRPr="00A57E6B" w:rsidRDefault="002E17D1" w:rsidP="002E17D1">
      <w:pPr>
        <w:pStyle w:val="Heading3"/>
      </w:pPr>
      <w:bookmarkStart w:id="40" w:name="_Toc166906047"/>
      <w:bookmarkStart w:id="41" w:name="_Toc174694428"/>
      <w:r w:rsidRPr="00A57E6B">
        <w:t xml:space="preserve">Early childhood </w:t>
      </w:r>
      <w:r w:rsidR="008725F8">
        <w:t>practices</w:t>
      </w:r>
      <w:r w:rsidR="008725F8" w:rsidRPr="00A57E6B">
        <w:t xml:space="preserve"> </w:t>
      </w:r>
      <w:r w:rsidRPr="00A57E6B">
        <w:t>are inclusive and responsive to diversity and children with additional needs.</w:t>
      </w:r>
      <w:bookmarkEnd w:id="40"/>
      <w:bookmarkEnd w:id="41"/>
      <w:r w:rsidRPr="00A57E6B">
        <w:t xml:space="preserve"> </w:t>
      </w:r>
    </w:p>
    <w:p w:rsidR="002E17D1" w:rsidRPr="00A57E6B" w:rsidRDefault="002E17D1" w:rsidP="002E17D1">
      <w:pPr>
        <w:rPr>
          <w:szCs w:val="24"/>
        </w:rPr>
      </w:pPr>
      <w:r w:rsidRPr="00A57E6B">
        <w:rPr>
          <w:szCs w:val="24"/>
        </w:rPr>
        <w:t>Inclusion means removing barriers to meaningful participation and engagement. Foreman (2008) offers some practical ways to support inclus</w:t>
      </w:r>
      <w:r>
        <w:rPr>
          <w:szCs w:val="24"/>
        </w:rPr>
        <w:t>ion in early childhood settings</w:t>
      </w:r>
      <w:r w:rsidR="008725F8">
        <w:rPr>
          <w:szCs w:val="24"/>
        </w:rPr>
        <w:t xml:space="preserve"> through</w:t>
      </w:r>
      <w:r>
        <w:rPr>
          <w:szCs w:val="24"/>
        </w:rPr>
        <w:t xml:space="preserve"> p</w:t>
      </w:r>
      <w:r w:rsidRPr="00A57E6B">
        <w:rPr>
          <w:szCs w:val="24"/>
        </w:rPr>
        <w:t xml:space="preserve">lanning to support the child’s individual needs. This may involve consideration of physical and mobility needs or the setting of individual goals with attention to learning styles and appropriate level. Adapting the </w:t>
      </w:r>
      <w:r w:rsidR="008725F8">
        <w:rPr>
          <w:szCs w:val="24"/>
        </w:rPr>
        <w:t>program or approach</w:t>
      </w:r>
      <w:r w:rsidR="008725F8" w:rsidRPr="00A57E6B">
        <w:rPr>
          <w:szCs w:val="24"/>
        </w:rPr>
        <w:t xml:space="preserve"> </w:t>
      </w:r>
      <w:r w:rsidRPr="00A57E6B">
        <w:rPr>
          <w:szCs w:val="24"/>
        </w:rPr>
        <w:t xml:space="preserve">can ensure that </w:t>
      </w:r>
      <w:r>
        <w:rPr>
          <w:szCs w:val="24"/>
        </w:rPr>
        <w:t>all children</w:t>
      </w:r>
      <w:r w:rsidRPr="00A57E6B">
        <w:rPr>
          <w:szCs w:val="24"/>
        </w:rPr>
        <w:t xml:space="preserve"> are participating at a level that is challenging and meaningful for them so that </w:t>
      </w:r>
      <w:r>
        <w:rPr>
          <w:szCs w:val="24"/>
        </w:rPr>
        <w:t>all</w:t>
      </w:r>
      <w:r w:rsidRPr="00A57E6B">
        <w:rPr>
          <w:szCs w:val="24"/>
        </w:rPr>
        <w:t xml:space="preserve"> learners can actively participate even if they are not able to participate fully. Finally</w:t>
      </w:r>
      <w:r w:rsidR="008725F8">
        <w:rPr>
          <w:szCs w:val="24"/>
        </w:rPr>
        <w:t>,</w:t>
      </w:r>
      <w:r w:rsidRPr="00A57E6B">
        <w:rPr>
          <w:szCs w:val="24"/>
        </w:rPr>
        <w:t xml:space="preserve"> Foreman (2008) suggests that modifying the environment can remove hidden barriers to inclusion. This require</w:t>
      </w:r>
      <w:r w:rsidR="008725F8">
        <w:rPr>
          <w:szCs w:val="24"/>
        </w:rPr>
        <w:t>s</w:t>
      </w:r>
      <w:r w:rsidRPr="00A57E6B">
        <w:rPr>
          <w:szCs w:val="24"/>
        </w:rPr>
        <w:t xml:space="preserve"> knowledge about </w:t>
      </w:r>
      <w:r w:rsidR="008725F8">
        <w:rPr>
          <w:szCs w:val="24"/>
        </w:rPr>
        <w:t>t</w:t>
      </w:r>
      <w:r w:rsidRPr="00A57E6B">
        <w:rPr>
          <w:szCs w:val="24"/>
        </w:rPr>
        <w:t xml:space="preserve">he individual child’s </w:t>
      </w:r>
      <w:r>
        <w:rPr>
          <w:szCs w:val="24"/>
        </w:rPr>
        <w:t>abilities,</w:t>
      </w:r>
      <w:r w:rsidRPr="00A57E6B">
        <w:rPr>
          <w:szCs w:val="24"/>
        </w:rPr>
        <w:t xml:space="preserve"> both physical and cognitive. </w:t>
      </w:r>
    </w:p>
    <w:p w:rsidR="002E17D1" w:rsidRPr="00A57E6B" w:rsidRDefault="002E17D1" w:rsidP="002E17D1">
      <w:pPr>
        <w:contextualSpacing/>
        <w:rPr>
          <w:szCs w:val="24"/>
        </w:rPr>
      </w:pPr>
      <w:r w:rsidRPr="00A57E6B">
        <w:rPr>
          <w:szCs w:val="24"/>
        </w:rPr>
        <w:t xml:space="preserve">Professionals create environments that promote respectful relationships between children, </w:t>
      </w:r>
      <w:r w:rsidR="008725F8">
        <w:rPr>
          <w:szCs w:val="24"/>
        </w:rPr>
        <w:t>professionals</w:t>
      </w:r>
      <w:r w:rsidRPr="00A57E6B">
        <w:rPr>
          <w:szCs w:val="24"/>
        </w:rPr>
        <w:t xml:space="preserve">, families and the community. Professionals act as role models by having high expectations for every child and showing respect for diversity. By modelling these attitudes </w:t>
      </w:r>
      <w:r w:rsidR="008725F8">
        <w:rPr>
          <w:szCs w:val="24"/>
        </w:rPr>
        <w:t>early childhood professionals</w:t>
      </w:r>
      <w:r w:rsidR="008725F8" w:rsidRPr="00A57E6B">
        <w:rPr>
          <w:szCs w:val="24"/>
        </w:rPr>
        <w:t xml:space="preserve"> </w:t>
      </w:r>
      <w:r w:rsidRPr="00A57E6B">
        <w:rPr>
          <w:szCs w:val="24"/>
        </w:rPr>
        <w:t xml:space="preserve">can have a positive effect on children’s peer relationships which in turn leads to better outcomes for children (Montague </w:t>
      </w:r>
      <w:r>
        <w:rPr>
          <w:szCs w:val="24"/>
        </w:rPr>
        <w:t>and</w:t>
      </w:r>
      <w:r w:rsidRPr="00A57E6B">
        <w:rPr>
          <w:szCs w:val="24"/>
        </w:rPr>
        <w:t xml:space="preserve"> Rinaldi, 2001).</w:t>
      </w:r>
      <w:r>
        <w:rPr>
          <w:szCs w:val="24"/>
        </w:rPr>
        <w:t xml:space="preserve"> P</w:t>
      </w:r>
      <w:r w:rsidRPr="00A57E6B">
        <w:rPr>
          <w:szCs w:val="24"/>
        </w:rPr>
        <w:t xml:space="preserve">rofessionals </w:t>
      </w:r>
      <w:r>
        <w:rPr>
          <w:szCs w:val="24"/>
        </w:rPr>
        <w:t xml:space="preserve">recognise </w:t>
      </w:r>
      <w:r w:rsidRPr="00A57E6B">
        <w:rPr>
          <w:szCs w:val="24"/>
        </w:rPr>
        <w:t xml:space="preserve">that equity and diversity require responsive, individualised care and education meaning that there is no one correct approach or theory to working with families </w:t>
      </w:r>
      <w:r>
        <w:rPr>
          <w:szCs w:val="24"/>
        </w:rPr>
        <w:t xml:space="preserve">who have diverse needs </w:t>
      </w:r>
      <w:r w:rsidRPr="00A57E6B">
        <w:rPr>
          <w:szCs w:val="24"/>
        </w:rPr>
        <w:t xml:space="preserve">(Potter, 2007; Reifel, </w:t>
      </w:r>
      <w:r>
        <w:rPr>
          <w:szCs w:val="24"/>
        </w:rPr>
        <w:t>and</w:t>
      </w:r>
      <w:r w:rsidRPr="00A57E6B">
        <w:rPr>
          <w:szCs w:val="24"/>
        </w:rPr>
        <w:t xml:space="preserve"> Brown, 2004).</w:t>
      </w:r>
    </w:p>
    <w:p w:rsidR="002E17D1" w:rsidRPr="00A57E6B" w:rsidRDefault="002E17D1" w:rsidP="002E17D1">
      <w:pPr>
        <w:contextualSpacing/>
        <w:rPr>
          <w:szCs w:val="24"/>
        </w:rPr>
      </w:pPr>
    </w:p>
    <w:p w:rsidR="002E17D1" w:rsidRPr="00A57E6B" w:rsidRDefault="002E17D1" w:rsidP="002E17D1">
      <w:pPr>
        <w:pStyle w:val="Heading3"/>
      </w:pPr>
      <w:bookmarkStart w:id="42" w:name="_Toc166906048"/>
      <w:bookmarkStart w:id="43" w:name="_Toc174694429"/>
      <w:r>
        <w:t>Early childhood p</w:t>
      </w:r>
      <w:r w:rsidRPr="00A57E6B">
        <w:t>rofessionals critically reflect on and take action to address issues of bias and inequality.</w:t>
      </w:r>
      <w:bookmarkEnd w:id="42"/>
      <w:bookmarkEnd w:id="43"/>
    </w:p>
    <w:p w:rsidR="00C745B4" w:rsidRDefault="002E17D1" w:rsidP="002E17D1">
      <w:r w:rsidRPr="00A57E6B">
        <w:rPr>
          <w:szCs w:val="24"/>
        </w:rPr>
        <w:t xml:space="preserve">Ideas about identity, culture and belonging are complex and influenced by a myriad of experiences, relationships and attitudes (Cave, King, </w:t>
      </w:r>
      <w:r>
        <w:rPr>
          <w:szCs w:val="24"/>
        </w:rPr>
        <w:t>and</w:t>
      </w:r>
      <w:r w:rsidRPr="00A57E6B">
        <w:rPr>
          <w:szCs w:val="24"/>
        </w:rPr>
        <w:t xml:space="preserve"> Giugni, 2005). Critical reflection enables </w:t>
      </w:r>
      <w:r>
        <w:rPr>
          <w:szCs w:val="24"/>
        </w:rPr>
        <w:t>early childhood professionals</w:t>
      </w:r>
      <w:r w:rsidRPr="00A57E6B">
        <w:rPr>
          <w:szCs w:val="24"/>
        </w:rPr>
        <w:t xml:space="preserve"> to understand their own views on identity and diversity and to recognise that they also work within a specific context, with a set of values and rules (MacNaughto</w:t>
      </w:r>
      <w:r>
        <w:rPr>
          <w:szCs w:val="24"/>
        </w:rPr>
        <w:t>n, 2003). Pre-service training needs to equip early childhood professionals with the skills to develop evidence-based knowledge to critique existing bias (</w:t>
      </w:r>
      <w:r w:rsidRPr="00836F68">
        <w:t>Brownlee, Boulton-Lewis</w:t>
      </w:r>
      <w:r w:rsidR="003F63B5">
        <w:t xml:space="preserve"> and</w:t>
      </w:r>
      <w:r>
        <w:t xml:space="preserve"> </w:t>
      </w:r>
      <w:r w:rsidRPr="00836F68">
        <w:t>Berthelsen</w:t>
      </w:r>
      <w:r>
        <w:t xml:space="preserve">, </w:t>
      </w:r>
      <w:r w:rsidRPr="00836F68">
        <w:t>2008)</w:t>
      </w:r>
      <w:r w:rsidR="008725F8">
        <w:t>, and to practise critical reflection on a daily basis</w:t>
      </w:r>
      <w:r>
        <w:t>.</w:t>
      </w:r>
      <w:r w:rsidRPr="00836F68">
        <w:t xml:space="preserve"> </w:t>
      </w:r>
    </w:p>
    <w:p w:rsidR="002E17D1" w:rsidRPr="00A57E6B" w:rsidRDefault="002E17D1" w:rsidP="002E17D1">
      <w:pPr>
        <w:rPr>
          <w:szCs w:val="24"/>
        </w:rPr>
      </w:pPr>
      <w:r>
        <w:rPr>
          <w:szCs w:val="24"/>
        </w:rPr>
        <w:t>Through th</w:t>
      </w:r>
      <w:r w:rsidR="00C745B4">
        <w:rPr>
          <w:szCs w:val="24"/>
        </w:rPr>
        <w:t>e</w:t>
      </w:r>
      <w:r>
        <w:rPr>
          <w:szCs w:val="24"/>
        </w:rPr>
        <w:t xml:space="preserve"> process </w:t>
      </w:r>
      <w:r w:rsidR="00C745B4">
        <w:rPr>
          <w:szCs w:val="24"/>
        </w:rPr>
        <w:t xml:space="preserve">of critical reflection </w:t>
      </w:r>
      <w:r>
        <w:rPr>
          <w:szCs w:val="24"/>
        </w:rPr>
        <w:t>early childhood p</w:t>
      </w:r>
      <w:r w:rsidRPr="00A57E6B">
        <w:rPr>
          <w:szCs w:val="24"/>
        </w:rPr>
        <w:t xml:space="preserve">rofessionals </w:t>
      </w:r>
      <w:r w:rsidR="00C745B4">
        <w:rPr>
          <w:szCs w:val="24"/>
        </w:rPr>
        <w:t xml:space="preserve">can </w:t>
      </w:r>
      <w:r w:rsidRPr="00A57E6B">
        <w:rPr>
          <w:szCs w:val="24"/>
        </w:rPr>
        <w:t xml:space="preserve">better able to identify their own bias and identify hidden barriers to inclusion. It is also important </w:t>
      </w:r>
      <w:r w:rsidR="00C745B4">
        <w:rPr>
          <w:szCs w:val="24"/>
        </w:rPr>
        <w:t>to</w:t>
      </w:r>
      <w:r w:rsidRPr="00A57E6B">
        <w:rPr>
          <w:szCs w:val="24"/>
        </w:rPr>
        <w:t xml:space="preserve"> reflect on how practices, language and the curriculum </w:t>
      </w:r>
      <w:r>
        <w:rPr>
          <w:szCs w:val="24"/>
        </w:rPr>
        <w:t>may reinforce</w:t>
      </w:r>
      <w:r w:rsidRPr="00A57E6B">
        <w:rPr>
          <w:szCs w:val="24"/>
        </w:rPr>
        <w:t xml:space="preserve"> stereotypes or the dominant culture (Cave </w:t>
      </w:r>
      <w:r w:rsidR="00BF0687">
        <w:rPr>
          <w:szCs w:val="24"/>
        </w:rPr>
        <w:t>et al.</w:t>
      </w:r>
      <w:r w:rsidRPr="00A57E6B">
        <w:rPr>
          <w:szCs w:val="24"/>
        </w:rPr>
        <w:t xml:space="preserve">, 2005; Reifel </w:t>
      </w:r>
      <w:r>
        <w:rPr>
          <w:szCs w:val="24"/>
        </w:rPr>
        <w:t>and</w:t>
      </w:r>
      <w:r w:rsidRPr="00A57E6B">
        <w:rPr>
          <w:szCs w:val="24"/>
        </w:rPr>
        <w:t xml:space="preserve"> Brown, 2004). Critical reflection is an ongoing process that requires an understanding that there is no one </w:t>
      </w:r>
      <w:r w:rsidR="008725F8">
        <w:rPr>
          <w:szCs w:val="24"/>
        </w:rPr>
        <w:t>right approach to working with</w:t>
      </w:r>
      <w:r w:rsidR="008725F8" w:rsidRPr="00A57E6B">
        <w:rPr>
          <w:szCs w:val="24"/>
        </w:rPr>
        <w:t xml:space="preserve"> </w:t>
      </w:r>
      <w:r w:rsidRPr="00A57E6B">
        <w:rPr>
          <w:szCs w:val="24"/>
        </w:rPr>
        <w:t xml:space="preserve">young children. It is therefore important that </w:t>
      </w:r>
      <w:r w:rsidR="008725F8">
        <w:rPr>
          <w:szCs w:val="24"/>
        </w:rPr>
        <w:t>professionals</w:t>
      </w:r>
      <w:r w:rsidR="008725F8" w:rsidRPr="00A57E6B">
        <w:rPr>
          <w:szCs w:val="24"/>
        </w:rPr>
        <w:t xml:space="preserve"> </w:t>
      </w:r>
      <w:r w:rsidRPr="00A57E6B">
        <w:rPr>
          <w:szCs w:val="24"/>
        </w:rPr>
        <w:t xml:space="preserve">look critically at </w:t>
      </w:r>
      <w:r w:rsidR="008725F8">
        <w:rPr>
          <w:szCs w:val="24"/>
        </w:rPr>
        <w:t>their</w:t>
      </w:r>
      <w:r w:rsidR="008725F8" w:rsidRPr="00A57E6B">
        <w:rPr>
          <w:szCs w:val="24"/>
        </w:rPr>
        <w:t xml:space="preserve"> </w:t>
      </w:r>
      <w:r w:rsidRPr="00A57E6B">
        <w:rPr>
          <w:szCs w:val="24"/>
        </w:rPr>
        <w:t xml:space="preserve">philosophy, theory and practice to ensure </w:t>
      </w:r>
      <w:r w:rsidR="008725F8">
        <w:rPr>
          <w:szCs w:val="24"/>
        </w:rPr>
        <w:t>they</w:t>
      </w:r>
      <w:r w:rsidRPr="00A57E6B">
        <w:rPr>
          <w:szCs w:val="24"/>
        </w:rPr>
        <w:t xml:space="preserve"> are providing the best possible support for each child (Raban, Nolan, Waniganayake, Ure, Brown </w:t>
      </w:r>
      <w:r>
        <w:rPr>
          <w:szCs w:val="24"/>
        </w:rPr>
        <w:t>and</w:t>
      </w:r>
      <w:r w:rsidRPr="00A57E6B">
        <w:rPr>
          <w:szCs w:val="24"/>
        </w:rPr>
        <w:t xml:space="preserve"> Deans, 2007). </w:t>
      </w:r>
    </w:p>
    <w:p w:rsidR="002E17D1" w:rsidRDefault="002E17D1" w:rsidP="002E17D1">
      <w:pPr>
        <w:pStyle w:val="Heading3"/>
      </w:pPr>
    </w:p>
    <w:p w:rsidR="002E17D1" w:rsidRPr="00A57E6B" w:rsidRDefault="002E17D1" w:rsidP="002E17D1">
      <w:pPr>
        <w:pStyle w:val="Heading3"/>
      </w:pPr>
      <w:bookmarkStart w:id="44" w:name="_Toc166906049"/>
      <w:bookmarkStart w:id="45" w:name="_Toc174694430"/>
      <w:r>
        <w:t>Early childhood p</w:t>
      </w:r>
      <w:r w:rsidRPr="00A57E6B">
        <w:t>rofessionals advocate the importance of home languages with families and other professionals.</w:t>
      </w:r>
      <w:bookmarkEnd w:id="44"/>
      <w:bookmarkEnd w:id="45"/>
    </w:p>
    <w:p w:rsidR="002E17D1" w:rsidRPr="00A57E6B" w:rsidRDefault="002E17D1" w:rsidP="002E17D1">
      <w:pPr>
        <w:rPr>
          <w:rFonts w:cs="Arial"/>
          <w:szCs w:val="24"/>
        </w:rPr>
      </w:pPr>
      <w:r w:rsidRPr="00A57E6B">
        <w:rPr>
          <w:szCs w:val="24"/>
        </w:rPr>
        <w:t xml:space="preserve">Research highlights the need for professionals to advocate the importance of maintaining the home language with families. Parents are often unsure whether to support second language learning in the home or to continue using their first language with their children (Changying, 2010). </w:t>
      </w:r>
      <w:r>
        <w:rPr>
          <w:szCs w:val="24"/>
        </w:rPr>
        <w:t xml:space="preserve">Yet overwhelming evidence points to the cognitive benefits of multilingualism and maintaining home languages (Dopke, 2000; Clarke, 2009). </w:t>
      </w:r>
      <w:r w:rsidRPr="00A57E6B">
        <w:rPr>
          <w:szCs w:val="24"/>
        </w:rPr>
        <w:t xml:space="preserve">Research </w:t>
      </w:r>
      <w:r>
        <w:rPr>
          <w:szCs w:val="24"/>
        </w:rPr>
        <w:t xml:space="preserve">also </w:t>
      </w:r>
      <w:r w:rsidRPr="00A57E6B">
        <w:rPr>
          <w:szCs w:val="24"/>
        </w:rPr>
        <w:t>demonstrates that children who are fluent in their home language reap the benefits of closer relationships with their parents, the cultural resources of their families an</w:t>
      </w:r>
      <w:r>
        <w:rPr>
          <w:szCs w:val="24"/>
        </w:rPr>
        <w:t>d communities</w:t>
      </w:r>
      <w:r w:rsidR="008725F8">
        <w:rPr>
          <w:szCs w:val="24"/>
        </w:rPr>
        <w:t>,</w:t>
      </w:r>
      <w:r>
        <w:rPr>
          <w:szCs w:val="24"/>
        </w:rPr>
        <w:t xml:space="preserve"> and stronger self-</w:t>
      </w:r>
      <w:r w:rsidRPr="00A57E6B">
        <w:rPr>
          <w:szCs w:val="24"/>
        </w:rPr>
        <w:t>esteem and sense of identity (</w:t>
      </w:r>
      <w:r w:rsidRPr="00A57E6B">
        <w:rPr>
          <w:rFonts w:cs="Arial"/>
          <w:szCs w:val="24"/>
        </w:rPr>
        <w:t xml:space="preserve">Wen-Jui </w:t>
      </w:r>
      <w:r>
        <w:rPr>
          <w:rFonts w:cs="Arial"/>
          <w:szCs w:val="24"/>
        </w:rPr>
        <w:t>and</w:t>
      </w:r>
      <w:r w:rsidRPr="00A57E6B">
        <w:rPr>
          <w:rFonts w:cs="Arial"/>
          <w:szCs w:val="24"/>
        </w:rPr>
        <w:t xml:space="preserve"> Chien-Chung, 2010).</w:t>
      </w:r>
    </w:p>
    <w:p w:rsidR="002E17D1" w:rsidRPr="00A57E6B" w:rsidRDefault="002E17D1" w:rsidP="002E17D1">
      <w:pPr>
        <w:spacing w:before="240"/>
        <w:rPr>
          <w:szCs w:val="24"/>
        </w:rPr>
      </w:pPr>
      <w:r w:rsidRPr="00A57E6B">
        <w:rPr>
          <w:rFonts w:cs="Arial"/>
          <w:szCs w:val="24"/>
        </w:rPr>
        <w:t>As well as promoting first language use at home professionals need to value home languages in the early childhood setting</w:t>
      </w:r>
      <w:r>
        <w:rPr>
          <w:rFonts w:cs="Arial"/>
          <w:szCs w:val="24"/>
        </w:rPr>
        <w:t xml:space="preserve"> (Clarke, 2009)</w:t>
      </w:r>
      <w:r w:rsidRPr="00A57E6B">
        <w:rPr>
          <w:rFonts w:cs="Arial"/>
          <w:szCs w:val="24"/>
        </w:rPr>
        <w:t>. Changying’s (2010) study detailed the importance of first languages being valued for childr</w:t>
      </w:r>
      <w:r>
        <w:rPr>
          <w:rFonts w:cs="Arial"/>
          <w:szCs w:val="24"/>
        </w:rPr>
        <w:t>en’s feelings of power and self-</w:t>
      </w:r>
      <w:r w:rsidRPr="00A57E6B">
        <w:rPr>
          <w:rFonts w:cs="Arial"/>
          <w:szCs w:val="24"/>
        </w:rPr>
        <w:t>esteem. Professionals also have responsibility to provide second</w:t>
      </w:r>
      <w:r w:rsidR="008725F8">
        <w:rPr>
          <w:rFonts w:cs="Arial"/>
          <w:szCs w:val="24"/>
        </w:rPr>
        <w:t xml:space="preserve"> or additional</w:t>
      </w:r>
      <w:r w:rsidRPr="00A57E6B">
        <w:rPr>
          <w:rFonts w:cs="Arial"/>
          <w:szCs w:val="24"/>
        </w:rPr>
        <w:t xml:space="preserve"> language learners with additional </w:t>
      </w:r>
      <w:r w:rsidR="00820085">
        <w:rPr>
          <w:rFonts w:cs="Arial"/>
          <w:szCs w:val="24"/>
        </w:rPr>
        <w:t xml:space="preserve"> or </w:t>
      </w:r>
      <w:r w:rsidRPr="00A57E6B">
        <w:rPr>
          <w:rFonts w:cs="Arial"/>
          <w:szCs w:val="24"/>
        </w:rPr>
        <w:t xml:space="preserve">specialised support to encourage their second language skills. This may mean trying creative and </w:t>
      </w:r>
      <w:r w:rsidR="008725F8">
        <w:rPr>
          <w:rFonts w:cs="Arial"/>
          <w:szCs w:val="24"/>
        </w:rPr>
        <w:t>individualised</w:t>
      </w:r>
      <w:r w:rsidR="008725F8" w:rsidRPr="00A57E6B">
        <w:rPr>
          <w:rFonts w:cs="Arial"/>
          <w:szCs w:val="24"/>
        </w:rPr>
        <w:t xml:space="preserve"> </w:t>
      </w:r>
      <w:r w:rsidRPr="00A57E6B">
        <w:rPr>
          <w:rFonts w:cs="Arial"/>
          <w:szCs w:val="24"/>
        </w:rPr>
        <w:t xml:space="preserve">strategies based on </w:t>
      </w:r>
      <w:r w:rsidR="008725F8">
        <w:rPr>
          <w:rFonts w:cs="Arial"/>
          <w:szCs w:val="24"/>
        </w:rPr>
        <w:t>each child’s</w:t>
      </w:r>
      <w:r w:rsidR="008725F8" w:rsidRPr="00A57E6B">
        <w:rPr>
          <w:rFonts w:cs="Arial"/>
          <w:szCs w:val="24"/>
        </w:rPr>
        <w:t xml:space="preserve"> </w:t>
      </w:r>
      <w:r w:rsidRPr="00A57E6B">
        <w:rPr>
          <w:rFonts w:cs="Arial"/>
          <w:szCs w:val="24"/>
        </w:rPr>
        <w:t xml:space="preserve">strengths, </w:t>
      </w:r>
      <w:r w:rsidR="008725F8">
        <w:rPr>
          <w:rFonts w:cs="Arial"/>
          <w:szCs w:val="24"/>
        </w:rPr>
        <w:t xml:space="preserve">abilities, </w:t>
      </w:r>
      <w:r w:rsidRPr="00A57E6B">
        <w:rPr>
          <w:rFonts w:cs="Arial"/>
          <w:szCs w:val="24"/>
        </w:rPr>
        <w:t xml:space="preserve">experiences and interests (Pennington, 2009; Suarez-Orozco </w:t>
      </w:r>
      <w:r w:rsidR="00BF0687">
        <w:rPr>
          <w:rFonts w:cs="Arial"/>
          <w:szCs w:val="24"/>
        </w:rPr>
        <w:t>et al.</w:t>
      </w:r>
      <w:r w:rsidRPr="00A57E6B">
        <w:rPr>
          <w:rFonts w:cs="Arial"/>
          <w:szCs w:val="24"/>
        </w:rPr>
        <w:t xml:space="preserve">, 2010).  </w:t>
      </w:r>
    </w:p>
    <w:p w:rsidR="002E17D1" w:rsidRDefault="002E17D1" w:rsidP="002E17D1">
      <w:pPr>
        <w:rPr>
          <w:i/>
          <w:szCs w:val="24"/>
        </w:rPr>
      </w:pPr>
    </w:p>
    <w:p w:rsidR="002E17D1" w:rsidRPr="00A57E6B" w:rsidRDefault="002E17D1" w:rsidP="002E17D1">
      <w:pPr>
        <w:pStyle w:val="Heading3"/>
      </w:pPr>
      <w:bookmarkStart w:id="46" w:name="_Toc166906050"/>
      <w:bookmarkStart w:id="47" w:name="_Toc174694431"/>
      <w:r w:rsidRPr="00A57E6B">
        <w:t xml:space="preserve">Professionals engage families in partnerships that respect and seek understanding </w:t>
      </w:r>
      <w:bookmarkEnd w:id="46"/>
      <w:r w:rsidRPr="00A57E6B">
        <w:t>about cultural values and diversity.</w:t>
      </w:r>
      <w:bookmarkEnd w:id="47"/>
    </w:p>
    <w:p w:rsidR="002E17D1" w:rsidRPr="00A57E6B" w:rsidRDefault="002E17D1" w:rsidP="002E17D1">
      <w:pPr>
        <w:rPr>
          <w:szCs w:val="24"/>
        </w:rPr>
      </w:pPr>
      <w:r w:rsidRPr="00A57E6B">
        <w:rPr>
          <w:szCs w:val="24"/>
        </w:rPr>
        <w:t>Family</w:t>
      </w:r>
      <w:r w:rsidR="008725F8">
        <w:rPr>
          <w:szCs w:val="24"/>
        </w:rPr>
        <w:t>-</w:t>
      </w:r>
      <w:r w:rsidRPr="00A57E6B">
        <w:rPr>
          <w:szCs w:val="24"/>
        </w:rPr>
        <w:t xml:space="preserve">centred practice is widely considered to be best practice in the early childhood field (Dau, 2003; Rodger, Braithwaite, </w:t>
      </w:r>
      <w:r>
        <w:rPr>
          <w:szCs w:val="24"/>
        </w:rPr>
        <w:t>and</w:t>
      </w:r>
      <w:r w:rsidRPr="00A57E6B">
        <w:rPr>
          <w:szCs w:val="24"/>
        </w:rPr>
        <w:t xml:space="preserve"> Keen 2004; Espe-Sherwindt, 2008). Family</w:t>
      </w:r>
      <w:r w:rsidR="008725F8">
        <w:rPr>
          <w:szCs w:val="24"/>
        </w:rPr>
        <w:t>-</w:t>
      </w:r>
      <w:r w:rsidRPr="00A57E6B">
        <w:rPr>
          <w:szCs w:val="24"/>
        </w:rPr>
        <w:t>centred practice can be defined as a partnership approach that values family knowledge, works from a strengths</w:t>
      </w:r>
      <w:r w:rsidR="008725F8">
        <w:rPr>
          <w:szCs w:val="24"/>
        </w:rPr>
        <w:t>-</w:t>
      </w:r>
      <w:r w:rsidRPr="00A57E6B">
        <w:rPr>
          <w:szCs w:val="24"/>
        </w:rPr>
        <w:t xml:space="preserve">based perspective and promotes family choice and decision making </w:t>
      </w:r>
      <w:r w:rsidR="008725F8">
        <w:rPr>
          <w:szCs w:val="24"/>
        </w:rPr>
        <w:t xml:space="preserve">with regard to </w:t>
      </w:r>
      <w:r w:rsidR="008725F8" w:rsidRPr="00A57E6B">
        <w:rPr>
          <w:szCs w:val="24"/>
        </w:rPr>
        <w:t xml:space="preserve"> </w:t>
      </w:r>
      <w:r w:rsidRPr="00A57E6B">
        <w:rPr>
          <w:szCs w:val="24"/>
        </w:rPr>
        <w:t xml:space="preserve">resources, goals and planning (Espe-Sherwindt, 2008; Rodger, </w:t>
      </w:r>
      <w:r w:rsidR="00BF0687">
        <w:rPr>
          <w:szCs w:val="24"/>
        </w:rPr>
        <w:t>et al.</w:t>
      </w:r>
      <w:r w:rsidRPr="00A57E6B">
        <w:rPr>
          <w:szCs w:val="24"/>
        </w:rPr>
        <w:t>, 2004). Family</w:t>
      </w:r>
      <w:r w:rsidR="008725F8">
        <w:rPr>
          <w:szCs w:val="24"/>
        </w:rPr>
        <w:t>-</w:t>
      </w:r>
      <w:r w:rsidRPr="00A57E6B">
        <w:rPr>
          <w:szCs w:val="24"/>
        </w:rPr>
        <w:t xml:space="preserve">centred practice recognises the importance of supporting the family unit, especially in cases where a child may be diagnosed with a disability </w:t>
      </w:r>
      <w:r w:rsidR="008725F8">
        <w:rPr>
          <w:szCs w:val="24"/>
        </w:rPr>
        <w:t xml:space="preserve">or developmental delay </w:t>
      </w:r>
      <w:r w:rsidRPr="00A57E6B">
        <w:rPr>
          <w:szCs w:val="24"/>
        </w:rPr>
        <w:t>(Talay-Ongan, 2004).</w:t>
      </w:r>
      <w:r>
        <w:rPr>
          <w:szCs w:val="24"/>
        </w:rPr>
        <w:t xml:space="preserve"> This support should include facilita</w:t>
      </w:r>
      <w:r w:rsidR="003F63B5">
        <w:rPr>
          <w:szCs w:val="24"/>
        </w:rPr>
        <w:t>ting social networks (Turnbull and</w:t>
      </w:r>
      <w:r>
        <w:rPr>
          <w:szCs w:val="24"/>
        </w:rPr>
        <w:t xml:space="preserve"> Turnbull, 2000), provid</w:t>
      </w:r>
      <w:r w:rsidR="003F63B5">
        <w:rPr>
          <w:szCs w:val="24"/>
        </w:rPr>
        <w:t>ing timely information (Bailey and</w:t>
      </w:r>
      <w:r>
        <w:rPr>
          <w:szCs w:val="24"/>
        </w:rPr>
        <w:t xml:space="preserve"> Powell, 2005 ) and empowering families</w:t>
      </w:r>
      <w:r w:rsidR="003F63B5">
        <w:rPr>
          <w:szCs w:val="24"/>
        </w:rPr>
        <w:t xml:space="preserve"> (Dunst, 2007; Dunst, Trivette and</w:t>
      </w:r>
      <w:r>
        <w:rPr>
          <w:szCs w:val="24"/>
        </w:rPr>
        <w:t xml:space="preserve"> Hamby, 2007; Moore, 2006 </w:t>
      </w:r>
      <w:r w:rsidR="003F63B5">
        <w:rPr>
          <w:szCs w:val="24"/>
        </w:rPr>
        <w:t>and</w:t>
      </w:r>
      <w:r>
        <w:rPr>
          <w:szCs w:val="24"/>
        </w:rPr>
        <w:t xml:space="preserve"> Larkin, 2006).</w:t>
      </w:r>
    </w:p>
    <w:p w:rsidR="002E17D1" w:rsidRPr="00A57E6B" w:rsidRDefault="002E17D1" w:rsidP="002E17D1">
      <w:pPr>
        <w:rPr>
          <w:szCs w:val="24"/>
        </w:rPr>
      </w:pPr>
      <w:r w:rsidRPr="00A57E6B">
        <w:rPr>
          <w:szCs w:val="24"/>
        </w:rPr>
        <w:t>Partnership</w:t>
      </w:r>
      <w:r>
        <w:rPr>
          <w:szCs w:val="24"/>
        </w:rPr>
        <w:t>s with families require early childhood professional</w:t>
      </w:r>
      <w:r w:rsidRPr="00A57E6B">
        <w:rPr>
          <w:szCs w:val="24"/>
        </w:rPr>
        <w:t xml:space="preserve">s to open lines of communication </w:t>
      </w:r>
      <w:r>
        <w:rPr>
          <w:szCs w:val="24"/>
        </w:rPr>
        <w:t>and encourage families to share</w:t>
      </w:r>
      <w:r w:rsidRPr="00A57E6B">
        <w:rPr>
          <w:szCs w:val="24"/>
        </w:rPr>
        <w:t xml:space="preserve"> knowledge and ideas (Dau, 2003).  Equity and diversity are paramount in engagement with families as some families will require additional time, resources or support to ensure their equitable engagement with the service. Family relationships are complex and affected by a multitude of factors </w:t>
      </w:r>
      <w:r>
        <w:rPr>
          <w:szCs w:val="24"/>
        </w:rPr>
        <w:t xml:space="preserve">and early childhood </w:t>
      </w:r>
      <w:r w:rsidRPr="00A57E6B">
        <w:rPr>
          <w:szCs w:val="24"/>
        </w:rPr>
        <w:t>professionals should be prepared to work with a diverse range of families who may have different priorities and values from their own (Dau, 2003). Family</w:t>
      </w:r>
      <w:r w:rsidR="00755771">
        <w:rPr>
          <w:szCs w:val="24"/>
        </w:rPr>
        <w:t>-</w:t>
      </w:r>
      <w:r w:rsidRPr="00A57E6B">
        <w:rPr>
          <w:szCs w:val="24"/>
        </w:rPr>
        <w:t xml:space="preserve">centred practice requires an active and systematic approach to ensure that families are involved at all levels of service provision and decision making (Espe-Sherwindt, 2008). </w:t>
      </w:r>
    </w:p>
    <w:p w:rsidR="002E17D1" w:rsidRPr="00A57E6B" w:rsidRDefault="002E17D1" w:rsidP="002E17D1">
      <w:pPr>
        <w:pStyle w:val="Heading3"/>
      </w:pPr>
      <w:bookmarkStart w:id="48" w:name="_Toc166906051"/>
      <w:bookmarkStart w:id="49" w:name="_Toc174694432"/>
      <w:r>
        <w:t>Aboriginal</w:t>
      </w:r>
      <w:r w:rsidRPr="00A57E6B">
        <w:t xml:space="preserve"> </w:t>
      </w:r>
      <w:r>
        <w:t>knowledge and perspectives</w:t>
      </w:r>
      <w:r w:rsidRPr="00A57E6B">
        <w:t xml:space="preserve"> are actively sought and explored and Aboriginal culture is valued and represented in the curriculum.</w:t>
      </w:r>
      <w:bookmarkEnd w:id="48"/>
      <w:bookmarkEnd w:id="49"/>
      <w:r w:rsidRPr="00A57E6B">
        <w:t xml:space="preserve"> </w:t>
      </w:r>
    </w:p>
    <w:p w:rsidR="00755771" w:rsidRDefault="00BF0687" w:rsidP="00755771">
      <w:pPr>
        <w:spacing w:after="120" w:line="240" w:lineRule="auto"/>
        <w:rPr>
          <w:szCs w:val="24"/>
        </w:rPr>
      </w:pPr>
      <w:r w:rsidRPr="00A57E6B">
        <w:rPr>
          <w:szCs w:val="24"/>
        </w:rPr>
        <w:t>In a multi-method study of ‘culturally strong’ early childhood practice</w:t>
      </w:r>
      <w:r>
        <w:rPr>
          <w:szCs w:val="24"/>
        </w:rPr>
        <w:t>,</w:t>
      </w:r>
      <w:r w:rsidRPr="00A57E6B">
        <w:rPr>
          <w:szCs w:val="24"/>
        </w:rPr>
        <w:t xml:space="preserve"> a diverse population of </w:t>
      </w:r>
      <w:r>
        <w:rPr>
          <w:szCs w:val="24"/>
        </w:rPr>
        <w:t>Aboriginal</w:t>
      </w:r>
      <w:r w:rsidRPr="00A57E6B">
        <w:rPr>
          <w:szCs w:val="24"/>
        </w:rPr>
        <w:t xml:space="preserve"> Australians living in all states in both rural and urban </w:t>
      </w:r>
      <w:r>
        <w:rPr>
          <w:szCs w:val="24"/>
        </w:rPr>
        <w:t>areas</w:t>
      </w:r>
      <w:r w:rsidRPr="00A57E6B">
        <w:rPr>
          <w:szCs w:val="24"/>
        </w:rPr>
        <w:t xml:space="preserve"> expressed a similar desire for early childhood programs that,</w:t>
      </w:r>
      <w:r w:rsidRPr="009D74FF">
        <w:rPr>
          <w:szCs w:val="24"/>
        </w:rPr>
        <w:t xml:space="preserve"> “reflect the cultural knowledge and practices of their respective communities” </w:t>
      </w:r>
      <w:r w:rsidRPr="00A57E6B">
        <w:rPr>
          <w:szCs w:val="24"/>
        </w:rPr>
        <w:t>(Guil</w:t>
      </w:r>
      <w:r>
        <w:rPr>
          <w:szCs w:val="24"/>
        </w:rPr>
        <w:t>foyle, et al.</w:t>
      </w:r>
      <w:r w:rsidRPr="00A57E6B">
        <w:rPr>
          <w:szCs w:val="24"/>
        </w:rPr>
        <w:t>, 2</w:t>
      </w:r>
      <w:r>
        <w:rPr>
          <w:szCs w:val="24"/>
        </w:rPr>
        <w:t>010, p.</w:t>
      </w:r>
      <w:r w:rsidRPr="00A57E6B">
        <w:rPr>
          <w:szCs w:val="24"/>
        </w:rPr>
        <w:t xml:space="preserve"> 68). </w:t>
      </w:r>
      <w:r w:rsidR="002E17D1" w:rsidRPr="00A57E6B">
        <w:rPr>
          <w:szCs w:val="24"/>
        </w:rPr>
        <w:t xml:space="preserve">The following ideas were common themes in creating a welcoming, culturally affirming space for </w:t>
      </w:r>
      <w:r w:rsidR="002E17D1">
        <w:rPr>
          <w:szCs w:val="24"/>
        </w:rPr>
        <w:t>Aboriginal</w:t>
      </w:r>
      <w:r w:rsidR="002E17D1" w:rsidRPr="00A57E6B">
        <w:rPr>
          <w:szCs w:val="24"/>
        </w:rPr>
        <w:t xml:space="preserve"> families</w:t>
      </w:r>
      <w:r w:rsidR="00755771">
        <w:rPr>
          <w:szCs w:val="24"/>
        </w:rPr>
        <w:t>:</w:t>
      </w:r>
    </w:p>
    <w:p w:rsidR="00755771" w:rsidRDefault="002E17D1" w:rsidP="00755771">
      <w:pPr>
        <w:numPr>
          <w:ilvl w:val="0"/>
          <w:numId w:val="41"/>
        </w:numPr>
        <w:spacing w:after="120" w:line="240" w:lineRule="auto"/>
        <w:rPr>
          <w:szCs w:val="24"/>
        </w:rPr>
      </w:pPr>
      <w:r w:rsidRPr="00A57E6B">
        <w:rPr>
          <w:szCs w:val="24"/>
        </w:rPr>
        <w:t xml:space="preserve">viewing the child as strong and competent </w:t>
      </w:r>
    </w:p>
    <w:p w:rsidR="00755771" w:rsidRDefault="002E17D1" w:rsidP="00755771">
      <w:pPr>
        <w:numPr>
          <w:ilvl w:val="0"/>
          <w:numId w:val="41"/>
        </w:numPr>
        <w:spacing w:after="120" w:line="240" w:lineRule="auto"/>
        <w:rPr>
          <w:szCs w:val="24"/>
        </w:rPr>
      </w:pPr>
      <w:r w:rsidRPr="00A57E6B">
        <w:rPr>
          <w:szCs w:val="24"/>
        </w:rPr>
        <w:t>the importance of family and community in the forming of identity</w:t>
      </w:r>
    </w:p>
    <w:p w:rsidR="00755771" w:rsidRDefault="002E17D1" w:rsidP="00755771">
      <w:pPr>
        <w:numPr>
          <w:ilvl w:val="0"/>
          <w:numId w:val="41"/>
        </w:numPr>
        <w:spacing w:after="120" w:line="240" w:lineRule="auto"/>
        <w:rPr>
          <w:szCs w:val="24"/>
        </w:rPr>
      </w:pPr>
      <w:r w:rsidRPr="00A57E6B">
        <w:rPr>
          <w:szCs w:val="24"/>
        </w:rPr>
        <w:t>the role of Elders in developing social and cultural identity</w:t>
      </w:r>
    </w:p>
    <w:p w:rsidR="00755771" w:rsidRDefault="002E17D1" w:rsidP="00755771">
      <w:pPr>
        <w:numPr>
          <w:ilvl w:val="0"/>
          <w:numId w:val="41"/>
        </w:numPr>
        <w:spacing w:after="120" w:line="240" w:lineRule="auto"/>
        <w:rPr>
          <w:szCs w:val="24"/>
        </w:rPr>
      </w:pPr>
      <w:r w:rsidRPr="00A57E6B">
        <w:rPr>
          <w:szCs w:val="24"/>
        </w:rPr>
        <w:t xml:space="preserve">the learning of mainstream skills in preparation for school. </w:t>
      </w:r>
    </w:p>
    <w:p w:rsidR="002E17D1" w:rsidRPr="00A57E6B" w:rsidRDefault="002E17D1" w:rsidP="00755771">
      <w:pPr>
        <w:rPr>
          <w:szCs w:val="24"/>
        </w:rPr>
      </w:pPr>
      <w:r w:rsidRPr="00A57E6B">
        <w:rPr>
          <w:szCs w:val="24"/>
        </w:rPr>
        <w:t xml:space="preserve">The study also found that local family and community needs must be met to support practical access and engagement with services. Local knowledge and cultural practices should inform early childhood practice (Guilfoyle, </w:t>
      </w:r>
      <w:r w:rsidR="00BF0687">
        <w:rPr>
          <w:szCs w:val="24"/>
        </w:rPr>
        <w:t>et al.</w:t>
      </w:r>
      <w:r w:rsidRPr="00A57E6B">
        <w:rPr>
          <w:szCs w:val="24"/>
        </w:rPr>
        <w:t xml:space="preserve">, 2010). </w:t>
      </w:r>
    </w:p>
    <w:p w:rsidR="00614DD7" w:rsidRDefault="002E17D1" w:rsidP="002E17D1">
      <w:pPr>
        <w:rPr>
          <w:szCs w:val="24"/>
        </w:rPr>
      </w:pPr>
      <w:r w:rsidRPr="00A57E6B">
        <w:rPr>
          <w:szCs w:val="24"/>
        </w:rPr>
        <w:t xml:space="preserve">A study by Harrison </w:t>
      </w:r>
      <w:r>
        <w:rPr>
          <w:szCs w:val="24"/>
        </w:rPr>
        <w:t>and</w:t>
      </w:r>
      <w:r w:rsidRPr="00A57E6B">
        <w:rPr>
          <w:szCs w:val="24"/>
        </w:rPr>
        <w:t xml:space="preserve"> Greenfield (2011) into the use of Aboriginal knowledge and perspectives in primary school pedagogy found that schools’ interaction with the local </w:t>
      </w:r>
      <w:r>
        <w:rPr>
          <w:szCs w:val="24"/>
        </w:rPr>
        <w:t>Aboriginal</w:t>
      </w:r>
      <w:r w:rsidRPr="00A57E6B">
        <w:rPr>
          <w:szCs w:val="24"/>
        </w:rPr>
        <w:t xml:space="preserve"> community was the most valuable way of incorporating </w:t>
      </w:r>
      <w:r>
        <w:rPr>
          <w:szCs w:val="24"/>
        </w:rPr>
        <w:t>Aboriginal</w:t>
      </w:r>
      <w:r w:rsidRPr="00A57E6B">
        <w:rPr>
          <w:szCs w:val="24"/>
        </w:rPr>
        <w:t xml:space="preserve"> perspectives into the curriculum. This local learning engaged children with the Aboriginal communities’ connections to place and identity. The complexity of these findings is</w:t>
      </w:r>
      <w:r>
        <w:rPr>
          <w:szCs w:val="24"/>
        </w:rPr>
        <w:t xml:space="preserve"> such</w:t>
      </w:r>
      <w:r w:rsidRPr="00A57E6B">
        <w:rPr>
          <w:szCs w:val="24"/>
        </w:rPr>
        <w:t xml:space="preserve"> that they are not easily replicated </w:t>
      </w:r>
      <w:r w:rsidRPr="009D74FF">
        <w:rPr>
          <w:i/>
          <w:szCs w:val="24"/>
        </w:rPr>
        <w:t>between</w:t>
      </w:r>
      <w:r w:rsidRPr="00A57E6B">
        <w:rPr>
          <w:szCs w:val="24"/>
        </w:rPr>
        <w:t xml:space="preserve"> schools</w:t>
      </w:r>
      <w:r>
        <w:rPr>
          <w:szCs w:val="24"/>
        </w:rPr>
        <w:t>,</w:t>
      </w:r>
      <w:r w:rsidRPr="00A57E6B">
        <w:rPr>
          <w:szCs w:val="24"/>
        </w:rPr>
        <w:t xml:space="preserve"> as the learning is local and community based</w:t>
      </w:r>
      <w:r>
        <w:rPr>
          <w:szCs w:val="24"/>
        </w:rPr>
        <w:t>,</w:t>
      </w:r>
      <w:r w:rsidRPr="00A57E6B">
        <w:rPr>
          <w:szCs w:val="24"/>
        </w:rPr>
        <w:t xml:space="preserve"> and there is such diversity in </w:t>
      </w:r>
      <w:r>
        <w:rPr>
          <w:szCs w:val="24"/>
        </w:rPr>
        <w:t>Aboriginal</w:t>
      </w:r>
      <w:r w:rsidRPr="00A57E6B">
        <w:rPr>
          <w:szCs w:val="24"/>
        </w:rPr>
        <w:t xml:space="preserve"> culture throughout Australia (Harris</w:t>
      </w:r>
      <w:r>
        <w:rPr>
          <w:szCs w:val="24"/>
        </w:rPr>
        <w:t>on and Greenfield, 2011). Kitson and</w:t>
      </w:r>
      <w:r w:rsidRPr="00A57E6B">
        <w:rPr>
          <w:szCs w:val="24"/>
        </w:rPr>
        <w:t xml:space="preserve"> Bowes (2010) also stress the importance of early childhood programs that are based on local knowledge and culture and that recognise the d</w:t>
      </w:r>
      <w:r>
        <w:rPr>
          <w:szCs w:val="24"/>
        </w:rPr>
        <w:t>iversity in Aboriginal culture and</w:t>
      </w:r>
      <w:r w:rsidRPr="00A57E6B">
        <w:rPr>
          <w:szCs w:val="24"/>
        </w:rPr>
        <w:t xml:space="preserve"> beliefs. </w:t>
      </w:r>
    </w:p>
    <w:p w:rsidR="002E17D1" w:rsidRPr="00A57E6B" w:rsidRDefault="002E17D1" w:rsidP="002E17D1">
      <w:pPr>
        <w:rPr>
          <w:szCs w:val="24"/>
        </w:rPr>
      </w:pPr>
      <w:r w:rsidRPr="00A57E6B">
        <w:rPr>
          <w:szCs w:val="24"/>
        </w:rPr>
        <w:t xml:space="preserve">There is no one correct way to incorporate and value </w:t>
      </w:r>
      <w:r>
        <w:rPr>
          <w:szCs w:val="24"/>
        </w:rPr>
        <w:t>Aboriginal</w:t>
      </w:r>
      <w:r w:rsidRPr="00A57E6B">
        <w:rPr>
          <w:szCs w:val="24"/>
        </w:rPr>
        <w:t xml:space="preserve"> culture in the curriculum but it must be an active process that values diversity, encourages differentiated practice and actively involves families and the community in the education and care of their children (Imtoual, </w:t>
      </w:r>
      <w:r w:rsidR="00BF0687">
        <w:rPr>
          <w:szCs w:val="24"/>
        </w:rPr>
        <w:t>et al.</w:t>
      </w:r>
      <w:r w:rsidRPr="00A57E6B">
        <w:rPr>
          <w:szCs w:val="24"/>
        </w:rPr>
        <w:t xml:space="preserve">, 2009; Freeman </w:t>
      </w:r>
      <w:r>
        <w:rPr>
          <w:szCs w:val="24"/>
        </w:rPr>
        <w:t>and</w:t>
      </w:r>
      <w:r w:rsidRPr="00A57E6B">
        <w:rPr>
          <w:szCs w:val="24"/>
        </w:rPr>
        <w:t xml:space="preserve"> Bochner, 2008). </w:t>
      </w:r>
    </w:p>
    <w:p w:rsidR="002E17D1" w:rsidRPr="00A57E6B" w:rsidRDefault="002E17D1" w:rsidP="002E17D1">
      <w:pPr>
        <w:rPr>
          <w:szCs w:val="24"/>
        </w:rPr>
      </w:pPr>
      <w:r w:rsidRPr="00A57E6B">
        <w:rPr>
          <w:szCs w:val="24"/>
        </w:rPr>
        <w:t xml:space="preserve">Professionals must also reflect on and actively challenge the dominant discourses that may discriminate against or restrict the participation of </w:t>
      </w:r>
      <w:r>
        <w:rPr>
          <w:szCs w:val="24"/>
        </w:rPr>
        <w:t>Aboriginal</w:t>
      </w:r>
      <w:r w:rsidRPr="00A57E6B">
        <w:rPr>
          <w:szCs w:val="24"/>
        </w:rPr>
        <w:t xml:space="preserve"> families. Professionals have a responsibility to recognise the myriad of historical and present day barriers to equity and social justice in service provision (Sarra, 2008; Freeman </w:t>
      </w:r>
      <w:r>
        <w:rPr>
          <w:szCs w:val="24"/>
        </w:rPr>
        <w:t>and</w:t>
      </w:r>
      <w:r w:rsidRPr="00A57E6B">
        <w:rPr>
          <w:szCs w:val="24"/>
        </w:rPr>
        <w:t xml:space="preserve"> Kitson </w:t>
      </w:r>
      <w:r>
        <w:rPr>
          <w:szCs w:val="24"/>
        </w:rPr>
        <w:t>and</w:t>
      </w:r>
      <w:r w:rsidRPr="00A57E6B">
        <w:rPr>
          <w:szCs w:val="24"/>
        </w:rPr>
        <w:t xml:space="preserve"> Bowes, 2010).  Creating safe and welcoming space for </w:t>
      </w:r>
      <w:r>
        <w:rPr>
          <w:szCs w:val="24"/>
        </w:rPr>
        <w:t>Aboriginal</w:t>
      </w:r>
      <w:r w:rsidRPr="00A57E6B">
        <w:rPr>
          <w:szCs w:val="24"/>
        </w:rPr>
        <w:t xml:space="preserve"> families requires reflection on these issues and action to combat the complex nature of discrimination and disadvantage (Freeman </w:t>
      </w:r>
      <w:r>
        <w:rPr>
          <w:szCs w:val="24"/>
        </w:rPr>
        <w:t>and</w:t>
      </w:r>
      <w:r w:rsidRPr="00A57E6B">
        <w:rPr>
          <w:szCs w:val="24"/>
        </w:rPr>
        <w:t xml:space="preserve"> Bochner, 2008). </w:t>
      </w:r>
    </w:p>
    <w:p w:rsidR="002E17D1" w:rsidRPr="00A57E6B" w:rsidRDefault="002E17D1" w:rsidP="002E17D1">
      <w:pPr>
        <w:pStyle w:val="Heading3"/>
      </w:pPr>
      <w:bookmarkStart w:id="50" w:name="_Toc166906052"/>
      <w:bookmarkStart w:id="51" w:name="_Toc174694433"/>
      <w:r w:rsidRPr="00A57E6B">
        <w:t>Early childhood professionals support children to develop a sense of place and connection to the environment.</w:t>
      </w:r>
      <w:bookmarkEnd w:id="50"/>
      <w:bookmarkEnd w:id="51"/>
    </w:p>
    <w:p w:rsidR="002E17D1" w:rsidRPr="00A57E6B" w:rsidRDefault="002E17D1" w:rsidP="002E17D1">
      <w:pPr>
        <w:rPr>
          <w:szCs w:val="24"/>
        </w:rPr>
      </w:pPr>
      <w:r w:rsidRPr="00A57E6B">
        <w:rPr>
          <w:szCs w:val="24"/>
        </w:rPr>
        <w:t xml:space="preserve">Place-based education connects children to a location, time, community, and experience (Eijck </w:t>
      </w:r>
      <w:r>
        <w:rPr>
          <w:szCs w:val="24"/>
        </w:rPr>
        <w:t>and</w:t>
      </w:r>
      <w:r w:rsidRPr="00A57E6B">
        <w:rPr>
          <w:szCs w:val="24"/>
        </w:rPr>
        <w:t xml:space="preserve"> Roth, 2010). Professionals can assist children to develop a sense of place and belonging by encouraging them to make meaning through their interactions with people and the environment. MacNaughton (2003) suggests that children need time to construct their own meaning and should have the opportunity to be involved in real world learning, where they can experiment, explore and create their own connections with their environment. Research demonstrates that place has a strong role in identity formation and can give children a sense of connectedness to their community and environment</w:t>
      </w:r>
      <w:r>
        <w:rPr>
          <w:szCs w:val="24"/>
        </w:rPr>
        <w:t xml:space="preserve"> (Fettes and Judson, 2010). Lewis </w:t>
      </w:r>
      <w:r w:rsidR="00BF0687">
        <w:rPr>
          <w:szCs w:val="24"/>
        </w:rPr>
        <w:t>et al.</w:t>
      </w:r>
      <w:r>
        <w:rPr>
          <w:szCs w:val="24"/>
        </w:rPr>
        <w:t xml:space="preserve"> (2010) recommend</w:t>
      </w:r>
      <w:r w:rsidRPr="00A57E6B">
        <w:rPr>
          <w:szCs w:val="24"/>
        </w:rPr>
        <w:t xml:space="preserve"> using hands on, </w:t>
      </w:r>
      <w:r w:rsidR="00755771">
        <w:rPr>
          <w:szCs w:val="24"/>
        </w:rPr>
        <w:t>child-</w:t>
      </w:r>
      <w:r w:rsidRPr="00A57E6B">
        <w:rPr>
          <w:szCs w:val="24"/>
        </w:rPr>
        <w:t>led projects to assist children in making connection with the environment and to explore principles of sustainability. Professionals can support children’s connections to place through strong partnerships with families a</w:t>
      </w:r>
      <w:r>
        <w:rPr>
          <w:szCs w:val="24"/>
        </w:rPr>
        <w:t>nd the local community (Imtoual</w:t>
      </w:r>
      <w:r w:rsidRPr="00A57E6B">
        <w:rPr>
          <w:szCs w:val="24"/>
        </w:rPr>
        <w:t xml:space="preserve"> </w:t>
      </w:r>
      <w:r w:rsidR="00BF0687">
        <w:rPr>
          <w:szCs w:val="24"/>
        </w:rPr>
        <w:t>et al.</w:t>
      </w:r>
      <w:r w:rsidRPr="00A57E6B">
        <w:rPr>
          <w:szCs w:val="24"/>
        </w:rPr>
        <w:t xml:space="preserve">, 2009). </w:t>
      </w:r>
    </w:p>
    <w:p w:rsidR="002E17D1" w:rsidRDefault="002E17D1" w:rsidP="002E17D1">
      <w:pPr>
        <w:pStyle w:val="Heading3"/>
      </w:pPr>
    </w:p>
    <w:p w:rsidR="002E17D1" w:rsidRPr="00A57E6B" w:rsidRDefault="002E17D1" w:rsidP="002E17D1">
      <w:pPr>
        <w:pStyle w:val="Heading3"/>
      </w:pPr>
      <w:bookmarkStart w:id="52" w:name="_Toc166906053"/>
      <w:bookmarkStart w:id="53" w:name="_Toc174694434"/>
      <w:r w:rsidRPr="00A57E6B">
        <w:t xml:space="preserve">Early </w:t>
      </w:r>
      <w:r>
        <w:t>childhood s</w:t>
      </w:r>
      <w:r w:rsidRPr="00A57E6B">
        <w:t>ettings</w:t>
      </w:r>
      <w:r>
        <w:t xml:space="preserve"> and schools</w:t>
      </w:r>
      <w:r w:rsidRPr="00A57E6B">
        <w:t xml:space="preserve"> provide additional support, training and funding to provide responsive and inclusive programs.</w:t>
      </w:r>
      <w:bookmarkEnd w:id="52"/>
      <w:bookmarkEnd w:id="53"/>
      <w:r w:rsidRPr="00A57E6B">
        <w:t xml:space="preserve"> </w:t>
      </w:r>
    </w:p>
    <w:p w:rsidR="00614DD7" w:rsidRDefault="002E17D1" w:rsidP="002E17D1">
      <w:pPr>
        <w:rPr>
          <w:szCs w:val="24"/>
        </w:rPr>
      </w:pPr>
      <w:r w:rsidRPr="00A57E6B">
        <w:rPr>
          <w:szCs w:val="24"/>
        </w:rPr>
        <w:t xml:space="preserve">Equity and diversity are complex, multifaceted principles that require planning, reflection, action and dedication to enact. Adequate staffing and training are necessary for inclusion to succeed. </w:t>
      </w:r>
      <w:r>
        <w:rPr>
          <w:szCs w:val="24"/>
        </w:rPr>
        <w:t>In her study Purdue (2009) cited appropriate resourcing as a key factor in meaningful inclusion. She found that early childhood settings were often under</w:t>
      </w:r>
      <w:r w:rsidR="00755771">
        <w:rPr>
          <w:szCs w:val="24"/>
        </w:rPr>
        <w:t>-</w:t>
      </w:r>
      <w:r>
        <w:rPr>
          <w:szCs w:val="24"/>
        </w:rPr>
        <w:t xml:space="preserve">resourced </w:t>
      </w:r>
      <w:r w:rsidR="00755771">
        <w:rPr>
          <w:szCs w:val="24"/>
        </w:rPr>
        <w:t xml:space="preserve">which </w:t>
      </w:r>
      <w:r>
        <w:rPr>
          <w:szCs w:val="24"/>
        </w:rPr>
        <w:t>result</w:t>
      </w:r>
      <w:r w:rsidR="00755771">
        <w:rPr>
          <w:szCs w:val="24"/>
        </w:rPr>
        <w:t>ed</w:t>
      </w:r>
      <w:r>
        <w:rPr>
          <w:szCs w:val="24"/>
        </w:rPr>
        <w:t xml:space="preserve"> in a lack of confidence </w:t>
      </w:r>
      <w:r w:rsidR="00755771">
        <w:rPr>
          <w:szCs w:val="24"/>
        </w:rPr>
        <w:t>among</w:t>
      </w:r>
      <w:r>
        <w:rPr>
          <w:szCs w:val="24"/>
        </w:rPr>
        <w:t xml:space="preserve"> both </w:t>
      </w:r>
      <w:r w:rsidR="00755771">
        <w:rPr>
          <w:szCs w:val="24"/>
        </w:rPr>
        <w:t>early childho</w:t>
      </w:r>
      <w:r w:rsidR="003F63B5">
        <w:rPr>
          <w:szCs w:val="24"/>
        </w:rPr>
        <w:t>o</w:t>
      </w:r>
      <w:r w:rsidR="00755771">
        <w:rPr>
          <w:szCs w:val="24"/>
        </w:rPr>
        <w:t xml:space="preserve">d professionals </w:t>
      </w:r>
      <w:r>
        <w:rPr>
          <w:szCs w:val="24"/>
        </w:rPr>
        <w:t xml:space="preserve">and families that they could provide the best learning outcomes for children with additional needs </w:t>
      </w:r>
      <w:r w:rsidRPr="00A57E6B">
        <w:rPr>
          <w:szCs w:val="24"/>
        </w:rPr>
        <w:t xml:space="preserve">(Purdue, 2009). </w:t>
      </w:r>
    </w:p>
    <w:p w:rsidR="00614DD7" w:rsidRDefault="002E17D1" w:rsidP="002E17D1">
      <w:pPr>
        <w:rPr>
          <w:szCs w:val="24"/>
        </w:rPr>
      </w:pPr>
      <w:r w:rsidRPr="00A57E6B">
        <w:rPr>
          <w:szCs w:val="24"/>
        </w:rPr>
        <w:t xml:space="preserve">Studies into </w:t>
      </w:r>
      <w:r w:rsidR="00755771">
        <w:rPr>
          <w:szCs w:val="24"/>
        </w:rPr>
        <w:t>professionals’</w:t>
      </w:r>
      <w:r w:rsidR="00755771" w:rsidRPr="00A57E6B">
        <w:rPr>
          <w:szCs w:val="24"/>
        </w:rPr>
        <w:t xml:space="preserve"> </w:t>
      </w:r>
      <w:r w:rsidRPr="00A57E6B">
        <w:rPr>
          <w:szCs w:val="24"/>
        </w:rPr>
        <w:t>agency when working with childre</w:t>
      </w:r>
      <w:r>
        <w:rPr>
          <w:szCs w:val="24"/>
        </w:rPr>
        <w:t>n with a disability demonstrate</w:t>
      </w:r>
      <w:r w:rsidRPr="00A57E6B">
        <w:rPr>
          <w:szCs w:val="24"/>
        </w:rPr>
        <w:t xml:space="preserve"> that trainin</w:t>
      </w:r>
      <w:r>
        <w:rPr>
          <w:szCs w:val="24"/>
        </w:rPr>
        <w:t>g, resources and experience are</w:t>
      </w:r>
      <w:r w:rsidRPr="00A57E6B">
        <w:rPr>
          <w:szCs w:val="24"/>
        </w:rPr>
        <w:t xml:space="preserve"> linked to confidence and feelings of control (Mohay </w:t>
      </w:r>
      <w:r>
        <w:rPr>
          <w:szCs w:val="24"/>
        </w:rPr>
        <w:t>and</w:t>
      </w:r>
      <w:r w:rsidRPr="00A57E6B">
        <w:rPr>
          <w:szCs w:val="24"/>
        </w:rPr>
        <w:t xml:space="preserve"> Reid, 2006). </w:t>
      </w:r>
      <w:r>
        <w:rPr>
          <w:szCs w:val="24"/>
        </w:rPr>
        <w:t>Stamopoulos (2006) found that p</w:t>
      </w:r>
      <w:r w:rsidRPr="00A57E6B">
        <w:rPr>
          <w:szCs w:val="24"/>
        </w:rPr>
        <w:t>re-service educators who we</w:t>
      </w:r>
      <w:r>
        <w:rPr>
          <w:szCs w:val="24"/>
        </w:rPr>
        <w:t xml:space="preserve">re part of a </w:t>
      </w:r>
      <w:r w:rsidR="00755771">
        <w:rPr>
          <w:szCs w:val="24"/>
        </w:rPr>
        <w:t>‘</w:t>
      </w:r>
      <w:r>
        <w:rPr>
          <w:szCs w:val="24"/>
        </w:rPr>
        <w:t>community links</w:t>
      </w:r>
      <w:r w:rsidR="00755771">
        <w:rPr>
          <w:szCs w:val="24"/>
        </w:rPr>
        <w:t>’</w:t>
      </w:r>
      <w:r>
        <w:rPr>
          <w:szCs w:val="24"/>
        </w:rPr>
        <w:t xml:space="preserve"> </w:t>
      </w:r>
      <w:r w:rsidRPr="00A57E6B">
        <w:rPr>
          <w:szCs w:val="24"/>
        </w:rPr>
        <w:t>program</w:t>
      </w:r>
      <w:r>
        <w:rPr>
          <w:szCs w:val="24"/>
        </w:rPr>
        <w:t xml:space="preserve"> where they spent recreational time with people with disabilities</w:t>
      </w:r>
      <w:r>
        <w:rPr>
          <w:rStyle w:val="CommentReference"/>
        </w:rPr>
        <w:t xml:space="preserve"> </w:t>
      </w:r>
      <w:r>
        <w:rPr>
          <w:rStyle w:val="CommentReference"/>
          <w:sz w:val="24"/>
          <w:szCs w:val="24"/>
        </w:rPr>
        <w:t>r</w:t>
      </w:r>
      <w:r w:rsidRPr="00A57E6B">
        <w:rPr>
          <w:szCs w:val="24"/>
        </w:rPr>
        <w:t>eported b</w:t>
      </w:r>
      <w:r>
        <w:rPr>
          <w:szCs w:val="24"/>
        </w:rPr>
        <w:t>etter attitudes towards people with a disability</w:t>
      </w:r>
      <w:r w:rsidRPr="00A57E6B">
        <w:rPr>
          <w:szCs w:val="24"/>
        </w:rPr>
        <w:t xml:space="preserve"> </w:t>
      </w:r>
      <w:r w:rsidR="00755771">
        <w:rPr>
          <w:szCs w:val="24"/>
        </w:rPr>
        <w:t>and that they</w:t>
      </w:r>
      <w:r w:rsidRPr="00A57E6B">
        <w:rPr>
          <w:szCs w:val="24"/>
        </w:rPr>
        <w:t xml:space="preserve"> fel</w:t>
      </w:r>
      <w:r w:rsidR="00755771">
        <w:rPr>
          <w:szCs w:val="24"/>
        </w:rPr>
        <w:t>t</w:t>
      </w:r>
      <w:r w:rsidRPr="00A57E6B">
        <w:rPr>
          <w:szCs w:val="24"/>
        </w:rPr>
        <w:t xml:space="preserve"> more empowe</w:t>
      </w:r>
      <w:r>
        <w:rPr>
          <w:szCs w:val="24"/>
        </w:rPr>
        <w:t xml:space="preserve">red to support children with additional needs. Purdue (2009) supports this, stating that pre-service and in-service training is needed to strengthen </w:t>
      </w:r>
      <w:r w:rsidR="00755771">
        <w:rPr>
          <w:szCs w:val="24"/>
        </w:rPr>
        <w:t xml:space="preserve">early childhood professionals’ </w:t>
      </w:r>
      <w:r>
        <w:rPr>
          <w:szCs w:val="24"/>
        </w:rPr>
        <w:t xml:space="preserve">skills in providing inclusive environments, foster a rights-based attitude towards education </w:t>
      </w:r>
      <w:r w:rsidR="00755771">
        <w:rPr>
          <w:szCs w:val="24"/>
        </w:rPr>
        <w:t xml:space="preserve">and care </w:t>
      </w:r>
      <w:r>
        <w:rPr>
          <w:szCs w:val="24"/>
        </w:rPr>
        <w:t>for all children</w:t>
      </w:r>
      <w:r w:rsidR="00755771">
        <w:rPr>
          <w:szCs w:val="24"/>
        </w:rPr>
        <w:t>,</w:t>
      </w:r>
      <w:r>
        <w:rPr>
          <w:szCs w:val="24"/>
        </w:rPr>
        <w:t xml:space="preserve"> and giv</w:t>
      </w:r>
      <w:r w:rsidR="00755771">
        <w:rPr>
          <w:szCs w:val="24"/>
        </w:rPr>
        <w:t>e</w:t>
      </w:r>
      <w:r>
        <w:rPr>
          <w:szCs w:val="24"/>
        </w:rPr>
        <w:t xml:space="preserve"> professionals the confidence to support diverse learners.  Llewellyn </w:t>
      </w:r>
      <w:r w:rsidR="00BF0687">
        <w:rPr>
          <w:szCs w:val="24"/>
        </w:rPr>
        <w:t>et al.</w:t>
      </w:r>
      <w:r w:rsidRPr="00A57E6B">
        <w:rPr>
          <w:szCs w:val="24"/>
        </w:rPr>
        <w:t xml:space="preserve"> (2002) and Grace </w:t>
      </w:r>
      <w:r w:rsidR="00BF0687">
        <w:rPr>
          <w:szCs w:val="24"/>
        </w:rPr>
        <w:t>et al.</w:t>
      </w:r>
      <w:r w:rsidRPr="00A57E6B">
        <w:rPr>
          <w:szCs w:val="24"/>
        </w:rPr>
        <w:t xml:space="preserve"> (2008) reported that inadequate staffing, difficulties accessing funding and places</w:t>
      </w:r>
      <w:r>
        <w:rPr>
          <w:szCs w:val="24"/>
        </w:rPr>
        <w:t>,</w:t>
      </w:r>
      <w:r w:rsidRPr="00A57E6B">
        <w:rPr>
          <w:szCs w:val="24"/>
        </w:rPr>
        <w:t xml:space="preserve"> and a lack of training for staff were all barriers to mean</w:t>
      </w:r>
      <w:r>
        <w:rPr>
          <w:szCs w:val="24"/>
        </w:rPr>
        <w:t xml:space="preserve">ingful inclusion. </w:t>
      </w:r>
    </w:p>
    <w:p w:rsidR="002E17D1" w:rsidRPr="00A57E6B" w:rsidRDefault="002E17D1" w:rsidP="002E17D1">
      <w:pPr>
        <w:rPr>
          <w:szCs w:val="24"/>
        </w:rPr>
      </w:pPr>
      <w:r>
        <w:rPr>
          <w:szCs w:val="24"/>
        </w:rPr>
        <w:t>Governments, schools and e</w:t>
      </w:r>
      <w:r w:rsidRPr="00A57E6B">
        <w:rPr>
          <w:szCs w:val="24"/>
        </w:rPr>
        <w:t>arly childhood settings all have a re</w:t>
      </w:r>
      <w:r>
        <w:rPr>
          <w:szCs w:val="24"/>
        </w:rPr>
        <w:t xml:space="preserve">sponsibility to ensure that </w:t>
      </w:r>
      <w:r w:rsidRPr="00A57E6B">
        <w:rPr>
          <w:szCs w:val="24"/>
        </w:rPr>
        <w:t>funding</w:t>
      </w:r>
      <w:r>
        <w:rPr>
          <w:szCs w:val="24"/>
        </w:rPr>
        <w:t xml:space="preserve"> is adequate and easy to access, that staff are well trained and have a commitment to equity, that where required additional staff members are available to support all children to participate fully, and that practical resources are provided, from physical equipment to onsite </w:t>
      </w:r>
      <w:r w:rsidR="00755771">
        <w:rPr>
          <w:szCs w:val="24"/>
        </w:rPr>
        <w:t xml:space="preserve">professional learning </w:t>
      </w:r>
      <w:r>
        <w:rPr>
          <w:szCs w:val="24"/>
        </w:rPr>
        <w:t xml:space="preserve">and supervision (Llewellyn </w:t>
      </w:r>
      <w:r w:rsidR="00BF0687">
        <w:rPr>
          <w:szCs w:val="24"/>
        </w:rPr>
        <w:t>et al.</w:t>
      </w:r>
      <w:r>
        <w:rPr>
          <w:szCs w:val="24"/>
        </w:rPr>
        <w:t>, 2002). These factors all contribute to an early childhood setting that can meet the needs of all children</w:t>
      </w:r>
      <w:r w:rsidRPr="00A57E6B">
        <w:rPr>
          <w:szCs w:val="24"/>
        </w:rPr>
        <w:t xml:space="preserve"> </w:t>
      </w:r>
      <w:r>
        <w:rPr>
          <w:szCs w:val="24"/>
        </w:rPr>
        <w:t xml:space="preserve">and ensure that each child </w:t>
      </w:r>
      <w:r w:rsidRPr="00A57E6B">
        <w:rPr>
          <w:szCs w:val="24"/>
        </w:rPr>
        <w:t>receive</w:t>
      </w:r>
      <w:r>
        <w:rPr>
          <w:szCs w:val="24"/>
        </w:rPr>
        <w:t>s</w:t>
      </w:r>
      <w:r w:rsidRPr="00A57E6B">
        <w:rPr>
          <w:szCs w:val="24"/>
        </w:rPr>
        <w:t xml:space="preserve"> optimal education and care.</w:t>
      </w:r>
    </w:p>
    <w:p w:rsidR="002E17D1" w:rsidRPr="002D7FBE" w:rsidRDefault="002E17D1" w:rsidP="002E17D1">
      <w:pPr>
        <w:pStyle w:val="Heading2"/>
      </w:pPr>
      <w:bookmarkStart w:id="54" w:name="_Toc150921279"/>
      <w:bookmarkStart w:id="55" w:name="_Toc158862717"/>
      <w:r>
        <w:br w:type="page"/>
      </w:r>
      <w:bookmarkStart w:id="56" w:name="_Toc166906054"/>
      <w:bookmarkStart w:id="57" w:name="_Toc174694435"/>
      <w:r w:rsidRPr="002D7FBE">
        <w:t>What are the implications for achieving best outcomes for children?</w:t>
      </w:r>
      <w:bookmarkEnd w:id="54"/>
      <w:bookmarkEnd w:id="55"/>
      <w:bookmarkEnd w:id="56"/>
      <w:bookmarkEnd w:id="57"/>
    </w:p>
    <w:p w:rsidR="002E17D1" w:rsidRPr="00A57E6B" w:rsidRDefault="002E17D1" w:rsidP="002E17D1">
      <w:pPr>
        <w:pStyle w:val="Heading4"/>
      </w:pPr>
      <w:r>
        <w:t xml:space="preserve">1. </w:t>
      </w:r>
      <w:r w:rsidRPr="00A57E6B">
        <w:t xml:space="preserve">Early childhood professionals play an important role in supporting and enhancing equitable learning </w:t>
      </w:r>
      <w:r>
        <w:t xml:space="preserve">and development </w:t>
      </w:r>
      <w:r w:rsidRPr="00A57E6B">
        <w:t xml:space="preserve">outcomes for all children.  </w:t>
      </w:r>
    </w:p>
    <w:p w:rsidR="000323E3" w:rsidRPr="00A57E6B" w:rsidRDefault="002E17D1" w:rsidP="002E17D1">
      <w:pPr>
        <w:rPr>
          <w:szCs w:val="24"/>
        </w:rPr>
      </w:pPr>
      <w:r w:rsidRPr="00A57E6B">
        <w:rPr>
          <w:szCs w:val="24"/>
        </w:rPr>
        <w:t xml:space="preserve">Early childhood professionals celebrate diversity and identify and challenge barriers to inclusion. </w:t>
      </w:r>
      <w:r w:rsidR="000323E3" w:rsidRPr="00A57E6B">
        <w:rPr>
          <w:szCs w:val="24"/>
        </w:rPr>
        <w:t xml:space="preserve">Professionals critically reflect on bias and inequality and act to address these in their </w:t>
      </w:r>
      <w:r w:rsidR="000323E3">
        <w:rPr>
          <w:szCs w:val="24"/>
        </w:rPr>
        <w:t>practice</w:t>
      </w:r>
      <w:r w:rsidR="000323E3" w:rsidRPr="00A57E6B">
        <w:rPr>
          <w:szCs w:val="24"/>
        </w:rPr>
        <w:t xml:space="preserve">.  </w:t>
      </w:r>
      <w:r w:rsidRPr="00A57E6B">
        <w:rPr>
          <w:szCs w:val="24"/>
        </w:rPr>
        <w:t xml:space="preserve">Professionals have high expectations for every child’s development and provide differentiated or additional support to promote equity in early childhood </w:t>
      </w:r>
      <w:r w:rsidR="00755771">
        <w:rPr>
          <w:szCs w:val="24"/>
        </w:rPr>
        <w:t>education and care</w:t>
      </w:r>
      <w:r w:rsidRPr="00A57E6B">
        <w:rPr>
          <w:szCs w:val="24"/>
        </w:rPr>
        <w:t xml:space="preserve">. </w:t>
      </w:r>
      <w:r w:rsidR="000323E3">
        <w:rPr>
          <w:szCs w:val="24"/>
        </w:rPr>
        <w:t xml:space="preserve">Early childhood professionals assess children’s learning and development to provide individualised education and care that builds on each child’s unique strengths, abilities and interests. </w:t>
      </w:r>
    </w:p>
    <w:p w:rsidR="002E17D1" w:rsidRPr="00A57E6B" w:rsidRDefault="002E17D1" w:rsidP="002E17D1">
      <w:pPr>
        <w:pStyle w:val="Heading4"/>
      </w:pPr>
      <w:r>
        <w:t xml:space="preserve">2. </w:t>
      </w:r>
      <w:r w:rsidRPr="00A57E6B">
        <w:t xml:space="preserve">Early childhood professionals need to form </w:t>
      </w:r>
      <w:r w:rsidR="00820085">
        <w:t xml:space="preserve">strong and respectful </w:t>
      </w:r>
      <w:r w:rsidRPr="00A57E6B">
        <w:t xml:space="preserve">partnerships with families and communities in order to provide the best support for children’s learning and development. </w:t>
      </w:r>
    </w:p>
    <w:p w:rsidR="002E17D1" w:rsidRDefault="002E17D1" w:rsidP="002E17D1">
      <w:pPr>
        <w:rPr>
          <w:rFonts w:cs="Arial"/>
          <w:szCs w:val="24"/>
        </w:rPr>
      </w:pPr>
      <w:r w:rsidRPr="00A57E6B">
        <w:rPr>
          <w:rFonts w:cs="Arial"/>
          <w:szCs w:val="24"/>
        </w:rPr>
        <w:t>Children develop in the context of their families and communities. Professionals engage in family</w:t>
      </w:r>
      <w:r w:rsidR="00755771">
        <w:rPr>
          <w:rFonts w:cs="Arial"/>
          <w:szCs w:val="24"/>
        </w:rPr>
        <w:t>-</w:t>
      </w:r>
      <w:r w:rsidRPr="00A57E6B">
        <w:rPr>
          <w:rFonts w:cs="Arial"/>
          <w:szCs w:val="24"/>
        </w:rPr>
        <w:t xml:space="preserve">centred practice that empowers families </w:t>
      </w:r>
      <w:r>
        <w:rPr>
          <w:rFonts w:cs="Arial"/>
          <w:szCs w:val="24"/>
        </w:rPr>
        <w:t>and</w:t>
      </w:r>
      <w:r w:rsidRPr="00A57E6B">
        <w:rPr>
          <w:rFonts w:cs="Arial"/>
          <w:szCs w:val="24"/>
        </w:rPr>
        <w:t xml:space="preserve"> involves them in planni</w:t>
      </w:r>
      <w:r>
        <w:rPr>
          <w:rFonts w:cs="Arial"/>
          <w:szCs w:val="24"/>
        </w:rPr>
        <w:t>ng and decision making. Early childhood professional</w:t>
      </w:r>
      <w:r w:rsidRPr="00A57E6B">
        <w:rPr>
          <w:rFonts w:cs="Arial"/>
          <w:szCs w:val="24"/>
        </w:rPr>
        <w:t xml:space="preserve">s seek family experiences and ideas to ensure that their programs are culturally relevant and reflect the values of their local community. </w:t>
      </w:r>
    </w:p>
    <w:p w:rsidR="002E17D1" w:rsidRPr="00A57E6B" w:rsidRDefault="002E17D1" w:rsidP="002E17D1">
      <w:pPr>
        <w:pStyle w:val="Heading4"/>
      </w:pPr>
      <w:r>
        <w:t xml:space="preserve">3. </w:t>
      </w:r>
      <w:r w:rsidR="00755771">
        <w:t xml:space="preserve">The early years of life are crucial for young children in </w:t>
      </w:r>
      <w:r w:rsidRPr="00A57E6B">
        <w:t xml:space="preserve">developing children’s first language and cultural identity.  </w:t>
      </w:r>
    </w:p>
    <w:p w:rsidR="002E17D1" w:rsidRPr="00A57E6B" w:rsidRDefault="00755771" w:rsidP="002E17D1">
      <w:pPr>
        <w:rPr>
          <w:szCs w:val="24"/>
        </w:rPr>
      </w:pPr>
      <w:r>
        <w:rPr>
          <w:szCs w:val="24"/>
        </w:rPr>
        <w:t xml:space="preserve">Professionals understand the importance of the early years for developing children’s first language and cultural identity. </w:t>
      </w:r>
      <w:r w:rsidR="002E17D1" w:rsidRPr="00A57E6B">
        <w:rPr>
          <w:szCs w:val="24"/>
        </w:rPr>
        <w:t>Identity and belonging are linked to c</w:t>
      </w:r>
      <w:r w:rsidR="002E17D1">
        <w:rPr>
          <w:szCs w:val="24"/>
        </w:rPr>
        <w:t>hildren’s self-</w:t>
      </w:r>
      <w:r w:rsidR="002E17D1" w:rsidRPr="00A57E6B">
        <w:rPr>
          <w:szCs w:val="24"/>
        </w:rPr>
        <w:t>esteem and wellbeing. Children learn and develop through their relationships with family and community. A child’s first language is a connection to their family and culture and provides many benefits in t</w:t>
      </w:r>
      <w:r w:rsidR="002E17D1">
        <w:rPr>
          <w:szCs w:val="24"/>
        </w:rPr>
        <w:t xml:space="preserve">heir learning and development. </w:t>
      </w:r>
    </w:p>
    <w:p w:rsidR="002E17D1" w:rsidRPr="00A57E6B" w:rsidRDefault="002E17D1" w:rsidP="002E17D1">
      <w:pPr>
        <w:pStyle w:val="Heading4"/>
      </w:pPr>
      <w:r>
        <w:t xml:space="preserve">4. </w:t>
      </w:r>
      <w:r w:rsidRPr="00A57E6B">
        <w:t xml:space="preserve">Children’s sense of belonging and identity is enhanced when they have a sense of place and connection to their environment. </w:t>
      </w:r>
    </w:p>
    <w:p w:rsidR="002E17D1" w:rsidRPr="00A57E6B" w:rsidRDefault="002E17D1" w:rsidP="002E17D1">
      <w:pPr>
        <w:rPr>
          <w:szCs w:val="24"/>
        </w:rPr>
      </w:pPr>
      <w:r w:rsidRPr="00A57E6B">
        <w:rPr>
          <w:rFonts w:cs="Arial"/>
          <w:szCs w:val="24"/>
        </w:rPr>
        <w:t xml:space="preserve">A sense of place enables children to make meaningful connections with their environment and their community. When children experience a sense of belonging and identity their sense of safety and wellbeing is enhanced. Professionals can help children to make these connections through partnerships with families and the community. </w:t>
      </w:r>
    </w:p>
    <w:p w:rsidR="00755771" w:rsidRPr="00A57E6B" w:rsidRDefault="00BD301B" w:rsidP="00755771">
      <w:pPr>
        <w:pStyle w:val="Heading4"/>
      </w:pPr>
      <w:bookmarkStart w:id="58" w:name="_Toc150921280"/>
      <w:r>
        <w:t>5</w:t>
      </w:r>
      <w:r w:rsidR="00755771">
        <w:t xml:space="preserve">. </w:t>
      </w:r>
      <w:r w:rsidR="006D516C">
        <w:t xml:space="preserve">Early childhood professionals’ attitudes toward diversity affect children’s wellbeing, self-esteem and academic outcomes. </w:t>
      </w:r>
      <w:r w:rsidR="00755771" w:rsidRPr="00A57E6B">
        <w:t>Professionals</w:t>
      </w:r>
      <w:r w:rsidR="00755771">
        <w:t xml:space="preserve"> </w:t>
      </w:r>
      <w:r w:rsidR="006D516C">
        <w:t>take responsibility</w:t>
      </w:r>
      <w:r w:rsidR="00755771">
        <w:t xml:space="preserve"> for identifying and removing barriers to equity and </w:t>
      </w:r>
      <w:r w:rsidR="006D516C">
        <w:t>inclusion</w:t>
      </w:r>
      <w:r w:rsidR="00755771">
        <w:t xml:space="preserve">. </w:t>
      </w:r>
    </w:p>
    <w:p w:rsidR="002E17D1" w:rsidRPr="009D74FF" w:rsidRDefault="002E17D1" w:rsidP="002E17D1">
      <w:pPr>
        <w:rPr>
          <w:szCs w:val="24"/>
        </w:rPr>
      </w:pPr>
      <w:r>
        <w:rPr>
          <w:szCs w:val="24"/>
        </w:rPr>
        <w:t xml:space="preserve">Professionals have </w:t>
      </w:r>
      <w:r w:rsidRPr="00A57E6B">
        <w:rPr>
          <w:szCs w:val="24"/>
        </w:rPr>
        <w:t xml:space="preserve">high expectations </w:t>
      </w:r>
      <w:r>
        <w:rPr>
          <w:szCs w:val="24"/>
        </w:rPr>
        <w:t>for themselves</w:t>
      </w:r>
      <w:r w:rsidR="006735BB">
        <w:rPr>
          <w:szCs w:val="24"/>
        </w:rPr>
        <w:t xml:space="preserve"> and </w:t>
      </w:r>
      <w:r>
        <w:rPr>
          <w:szCs w:val="24"/>
        </w:rPr>
        <w:t xml:space="preserve">are committed to achieving best practice with </w:t>
      </w:r>
      <w:r w:rsidRPr="009D74FF">
        <w:rPr>
          <w:i/>
          <w:szCs w:val="24"/>
        </w:rPr>
        <w:t xml:space="preserve">all </w:t>
      </w:r>
      <w:r w:rsidRPr="00A57E6B">
        <w:rPr>
          <w:szCs w:val="24"/>
        </w:rPr>
        <w:t>children</w:t>
      </w:r>
      <w:r>
        <w:rPr>
          <w:szCs w:val="24"/>
        </w:rPr>
        <w:t xml:space="preserve">. Governments, schools, early childhood settings and professionals actively challenge the barriers to equity through training, adequate staffing, additional resources, critical reflection and collegial support. </w:t>
      </w:r>
      <w:r w:rsidRPr="00A57E6B">
        <w:rPr>
          <w:szCs w:val="24"/>
        </w:rPr>
        <w:t xml:space="preserve"> </w:t>
      </w:r>
      <w:r w:rsidRPr="00A57E6B">
        <w:rPr>
          <w:szCs w:val="24"/>
        </w:rPr>
        <w:br w:type="page"/>
      </w:r>
    </w:p>
    <w:p w:rsidR="002E17D1" w:rsidRPr="00A57E6B" w:rsidRDefault="002E17D1" w:rsidP="002E17D1">
      <w:pPr>
        <w:pStyle w:val="Heading2"/>
      </w:pPr>
      <w:bookmarkStart w:id="59" w:name="_Toc166906055"/>
      <w:bookmarkStart w:id="60" w:name="_Toc174694436"/>
      <w:r w:rsidRPr="00A57E6B">
        <w:t>Appendix A</w:t>
      </w:r>
      <w:r w:rsidRPr="00A57E6B">
        <w:tab/>
        <w:t>Methodology</w:t>
      </w:r>
      <w:bookmarkEnd w:id="59"/>
      <w:bookmarkEnd w:id="60"/>
    </w:p>
    <w:p w:rsidR="002E17D1" w:rsidRPr="00A57E6B" w:rsidRDefault="002E17D1" w:rsidP="002E17D1">
      <w:pPr>
        <w:rPr>
          <w:szCs w:val="24"/>
        </w:rPr>
      </w:pPr>
      <w:r w:rsidRPr="00A57E6B">
        <w:rPr>
          <w:szCs w:val="24"/>
        </w:rPr>
        <w:t>The following sampling procedures and research methods were used in this Paper.  To begin with, an online database search was carried out for current literature using the following search terms;</w:t>
      </w:r>
    </w:p>
    <w:p w:rsidR="002E17D1" w:rsidRPr="00A57E6B" w:rsidRDefault="002E17D1" w:rsidP="002E17D1">
      <w:pPr>
        <w:pStyle w:val="ListBullet"/>
        <w:rPr>
          <w:color w:val="auto"/>
          <w:szCs w:val="24"/>
        </w:rPr>
      </w:pPr>
      <w:r w:rsidRPr="00A57E6B">
        <w:rPr>
          <w:color w:val="auto"/>
          <w:szCs w:val="24"/>
        </w:rPr>
        <w:t xml:space="preserve">equity </w:t>
      </w:r>
    </w:p>
    <w:p w:rsidR="002E17D1" w:rsidRPr="00A57E6B" w:rsidRDefault="002E17D1" w:rsidP="002E17D1">
      <w:pPr>
        <w:pStyle w:val="ListBullet"/>
        <w:rPr>
          <w:color w:val="auto"/>
          <w:szCs w:val="24"/>
        </w:rPr>
      </w:pPr>
      <w:r w:rsidRPr="00A57E6B">
        <w:rPr>
          <w:color w:val="auto"/>
          <w:szCs w:val="24"/>
        </w:rPr>
        <w:t xml:space="preserve">bilingualism </w:t>
      </w:r>
    </w:p>
    <w:p w:rsidR="002E17D1" w:rsidRPr="00A57E6B" w:rsidRDefault="002E17D1" w:rsidP="002E17D1">
      <w:pPr>
        <w:pStyle w:val="ListBullet"/>
        <w:rPr>
          <w:color w:val="auto"/>
          <w:szCs w:val="24"/>
        </w:rPr>
      </w:pPr>
      <w:r w:rsidRPr="00A57E6B">
        <w:rPr>
          <w:color w:val="auto"/>
          <w:szCs w:val="24"/>
        </w:rPr>
        <w:t>place</w:t>
      </w:r>
    </w:p>
    <w:p w:rsidR="002E17D1" w:rsidRPr="00A57E6B" w:rsidRDefault="002E17D1" w:rsidP="002E17D1">
      <w:pPr>
        <w:pStyle w:val="ListBullet"/>
        <w:rPr>
          <w:color w:val="auto"/>
          <w:szCs w:val="24"/>
        </w:rPr>
      </w:pPr>
      <w:r w:rsidRPr="00A57E6B">
        <w:rPr>
          <w:color w:val="auto"/>
          <w:szCs w:val="24"/>
        </w:rPr>
        <w:t>diversity</w:t>
      </w:r>
    </w:p>
    <w:p w:rsidR="002E17D1" w:rsidRPr="00A57E6B" w:rsidRDefault="002E17D1" w:rsidP="002E17D1">
      <w:pPr>
        <w:pStyle w:val="ListBullet"/>
        <w:rPr>
          <w:color w:val="auto"/>
          <w:szCs w:val="24"/>
        </w:rPr>
      </w:pPr>
      <w:r w:rsidRPr="00A57E6B">
        <w:rPr>
          <w:color w:val="auto"/>
          <w:szCs w:val="24"/>
        </w:rPr>
        <w:t>inclusion</w:t>
      </w:r>
    </w:p>
    <w:p w:rsidR="002E17D1" w:rsidRPr="00A57E6B" w:rsidRDefault="002E17D1" w:rsidP="002E17D1">
      <w:pPr>
        <w:pStyle w:val="ListBullet"/>
        <w:rPr>
          <w:color w:val="auto"/>
          <w:szCs w:val="24"/>
        </w:rPr>
      </w:pPr>
      <w:r w:rsidRPr="00A57E6B">
        <w:rPr>
          <w:color w:val="auto"/>
          <w:szCs w:val="24"/>
        </w:rPr>
        <w:t>Student outcomes and teacher expectations</w:t>
      </w:r>
    </w:p>
    <w:p w:rsidR="002E17D1" w:rsidRPr="00A57E6B" w:rsidRDefault="002E17D1" w:rsidP="002E17D1">
      <w:pPr>
        <w:pStyle w:val="ListBullet"/>
        <w:rPr>
          <w:color w:val="auto"/>
          <w:szCs w:val="24"/>
        </w:rPr>
      </w:pPr>
      <w:r w:rsidRPr="00A57E6B">
        <w:rPr>
          <w:color w:val="auto"/>
          <w:szCs w:val="24"/>
        </w:rPr>
        <w:t xml:space="preserve">Individualised Learning </w:t>
      </w:r>
    </w:p>
    <w:p w:rsidR="002E17D1" w:rsidRPr="00A57E6B" w:rsidRDefault="002E17D1" w:rsidP="002E17D1">
      <w:pPr>
        <w:pStyle w:val="ListBullet"/>
        <w:rPr>
          <w:color w:val="auto"/>
          <w:szCs w:val="24"/>
        </w:rPr>
      </w:pPr>
      <w:r w:rsidRPr="00A57E6B">
        <w:rPr>
          <w:color w:val="auto"/>
          <w:szCs w:val="24"/>
        </w:rPr>
        <w:t>Differentiated Learning</w:t>
      </w:r>
    </w:p>
    <w:p w:rsidR="002E17D1" w:rsidRPr="00A57E6B" w:rsidRDefault="002E17D1" w:rsidP="002E17D1">
      <w:pPr>
        <w:pStyle w:val="ListBullet"/>
        <w:rPr>
          <w:color w:val="auto"/>
          <w:szCs w:val="24"/>
        </w:rPr>
      </w:pPr>
      <w:r w:rsidRPr="00A57E6B">
        <w:rPr>
          <w:color w:val="auto"/>
          <w:szCs w:val="24"/>
        </w:rPr>
        <w:t>Disability</w:t>
      </w:r>
    </w:p>
    <w:p w:rsidR="002E17D1" w:rsidRPr="00A57E6B" w:rsidRDefault="002E17D1" w:rsidP="002E17D1">
      <w:pPr>
        <w:pStyle w:val="ListBullet"/>
        <w:rPr>
          <w:color w:val="auto"/>
          <w:szCs w:val="24"/>
        </w:rPr>
      </w:pPr>
      <w:r w:rsidRPr="00A57E6B">
        <w:rPr>
          <w:color w:val="auto"/>
          <w:szCs w:val="24"/>
        </w:rPr>
        <w:t xml:space="preserve">Aboriginal </w:t>
      </w:r>
    </w:p>
    <w:p w:rsidR="002E17D1" w:rsidRPr="00A57E6B" w:rsidRDefault="002E17D1" w:rsidP="002E17D1">
      <w:pPr>
        <w:pStyle w:val="ListBullet"/>
        <w:rPr>
          <w:color w:val="auto"/>
          <w:szCs w:val="24"/>
        </w:rPr>
      </w:pPr>
      <w:r w:rsidRPr="00A57E6B">
        <w:rPr>
          <w:color w:val="auto"/>
          <w:szCs w:val="24"/>
        </w:rPr>
        <w:t>Family centred practice</w:t>
      </w:r>
    </w:p>
    <w:p w:rsidR="002E17D1" w:rsidRPr="00A57E6B" w:rsidRDefault="002E17D1" w:rsidP="002E17D1">
      <w:pPr>
        <w:pStyle w:val="ListBullet"/>
        <w:numPr>
          <w:ilvl w:val="0"/>
          <w:numId w:val="0"/>
        </w:numPr>
        <w:rPr>
          <w:color w:val="auto"/>
          <w:szCs w:val="24"/>
        </w:rPr>
      </w:pPr>
    </w:p>
    <w:p w:rsidR="002E17D1" w:rsidRPr="00A57E6B" w:rsidRDefault="002E17D1" w:rsidP="002E17D1">
      <w:pPr>
        <w:pStyle w:val="ListBullet"/>
        <w:numPr>
          <w:ilvl w:val="0"/>
          <w:numId w:val="0"/>
        </w:numPr>
        <w:rPr>
          <w:color w:val="auto"/>
          <w:szCs w:val="24"/>
        </w:rPr>
      </w:pPr>
      <w:r w:rsidRPr="00A57E6B">
        <w:rPr>
          <w:color w:val="auto"/>
          <w:szCs w:val="24"/>
        </w:rPr>
        <w:t>The terms ‘Children’</w:t>
      </w:r>
      <w:r>
        <w:rPr>
          <w:color w:val="auto"/>
          <w:szCs w:val="24"/>
        </w:rPr>
        <w:t>,</w:t>
      </w:r>
      <w:r w:rsidRPr="00A57E6B">
        <w:rPr>
          <w:color w:val="auto"/>
          <w:szCs w:val="24"/>
        </w:rPr>
        <w:t xml:space="preserve"> ‘Early Childhood ’</w:t>
      </w:r>
      <w:r>
        <w:rPr>
          <w:color w:val="auto"/>
          <w:szCs w:val="24"/>
        </w:rPr>
        <w:t>,</w:t>
      </w:r>
      <w:r w:rsidRPr="00A57E6B">
        <w:rPr>
          <w:color w:val="auto"/>
          <w:szCs w:val="24"/>
        </w:rPr>
        <w:t xml:space="preserve"> ‘Australia’ and ‘inclusion’ were added to create the search parameters relevant to this paper.  </w:t>
      </w:r>
    </w:p>
    <w:p w:rsidR="002E17D1" w:rsidRPr="00A57E6B" w:rsidRDefault="002E17D1" w:rsidP="002E17D1">
      <w:pPr>
        <w:rPr>
          <w:szCs w:val="24"/>
        </w:rPr>
      </w:pPr>
      <w:r w:rsidRPr="00A57E6B">
        <w:rPr>
          <w:szCs w:val="24"/>
        </w:rPr>
        <w:t xml:space="preserve">Search results were refined by selecting articles that were particular to the Australian context and research that focused on the early years from birth to 8. </w:t>
      </w:r>
    </w:p>
    <w:p w:rsidR="002E17D1" w:rsidRPr="00A57E6B" w:rsidRDefault="002E17D1" w:rsidP="002E17D1">
      <w:pPr>
        <w:rPr>
          <w:szCs w:val="24"/>
        </w:rPr>
      </w:pPr>
      <w:r w:rsidRPr="00A57E6B">
        <w:rPr>
          <w:szCs w:val="24"/>
        </w:rPr>
        <w:t>The University of Melbourne’s online databases were viewed using “Supersearch”.  This provided a wide selection of electronic journals, scholarly databases, theses and government reports, locally, nationally and internationally, with a particular focus on those abstracts identifying a specific Australian context and a focus on the early years. Only on-line, peer reviewed journal articles and literature published in the last 20 years have been considered.</w:t>
      </w:r>
    </w:p>
    <w:p w:rsidR="002E17D1" w:rsidRPr="00A57E6B" w:rsidRDefault="002E17D1" w:rsidP="002E17D1">
      <w:pPr>
        <w:rPr>
          <w:szCs w:val="24"/>
        </w:rPr>
      </w:pPr>
      <w:r w:rsidRPr="00A57E6B">
        <w:rPr>
          <w:szCs w:val="24"/>
        </w:rPr>
        <w:t>The databases searched were</w:t>
      </w:r>
    </w:p>
    <w:p w:rsidR="002E17D1" w:rsidRPr="00A57E6B" w:rsidRDefault="002E17D1" w:rsidP="002E17D1">
      <w:pPr>
        <w:rPr>
          <w:szCs w:val="24"/>
        </w:rPr>
      </w:pPr>
      <w:r w:rsidRPr="00A57E6B">
        <w:rPr>
          <w:szCs w:val="24"/>
        </w:rPr>
        <w:t xml:space="preserve">ERIC (CSA) </w:t>
      </w:r>
    </w:p>
    <w:p w:rsidR="002E17D1" w:rsidRPr="00A57E6B" w:rsidRDefault="002E17D1" w:rsidP="002E17D1">
      <w:pPr>
        <w:rPr>
          <w:szCs w:val="24"/>
        </w:rPr>
      </w:pPr>
      <w:r w:rsidRPr="00A57E6B">
        <w:rPr>
          <w:szCs w:val="24"/>
        </w:rPr>
        <w:t xml:space="preserve">A+ Education (Informit) </w:t>
      </w:r>
    </w:p>
    <w:p w:rsidR="002E17D1" w:rsidRPr="00A57E6B" w:rsidRDefault="002E17D1" w:rsidP="002E17D1">
      <w:pPr>
        <w:rPr>
          <w:szCs w:val="24"/>
        </w:rPr>
      </w:pPr>
      <w:r w:rsidRPr="00A57E6B">
        <w:rPr>
          <w:szCs w:val="24"/>
        </w:rPr>
        <w:t xml:space="preserve">Web of Science (ISI) </w:t>
      </w:r>
    </w:p>
    <w:p w:rsidR="002E17D1" w:rsidRPr="00A57E6B" w:rsidRDefault="002E17D1" w:rsidP="002E17D1">
      <w:pPr>
        <w:rPr>
          <w:szCs w:val="24"/>
        </w:rPr>
      </w:pPr>
      <w:r w:rsidRPr="00A57E6B">
        <w:rPr>
          <w:szCs w:val="24"/>
        </w:rPr>
        <w:t xml:space="preserve">Education Research Complete (EBSCO) </w:t>
      </w:r>
    </w:p>
    <w:p w:rsidR="002E17D1" w:rsidRPr="00A57E6B" w:rsidRDefault="002E17D1" w:rsidP="002E17D1">
      <w:pPr>
        <w:rPr>
          <w:szCs w:val="24"/>
        </w:rPr>
      </w:pPr>
      <w:r w:rsidRPr="00A57E6B">
        <w:rPr>
          <w:szCs w:val="24"/>
        </w:rPr>
        <w:t>Expanded Academic ASAP (Gale)</w:t>
      </w:r>
    </w:p>
    <w:p w:rsidR="002E17D1" w:rsidRPr="00A57E6B" w:rsidRDefault="002E17D1" w:rsidP="002E17D1">
      <w:pPr>
        <w:rPr>
          <w:szCs w:val="24"/>
        </w:rPr>
      </w:pPr>
    </w:p>
    <w:p w:rsidR="002E17D1" w:rsidRPr="00A57E6B" w:rsidRDefault="002E17D1" w:rsidP="002E17D1">
      <w:pPr>
        <w:rPr>
          <w:szCs w:val="24"/>
        </w:rPr>
      </w:pPr>
      <w:r w:rsidRPr="00A57E6B">
        <w:rPr>
          <w:szCs w:val="24"/>
        </w:rPr>
        <w:t xml:space="preserve">Finally, a number of texts have also been included, because they are especially relevant to the Australian early years context. Specifically, Shaping Early Childhood; Learners, Curriculum and Contexts (MacNaughton, 2003), Inclusion in action (Forman, 2008) Literacies in early childhood: Challenging views challenging practice (Makin, L., Diaz, C.J., </w:t>
      </w:r>
      <w:r>
        <w:rPr>
          <w:szCs w:val="24"/>
        </w:rPr>
        <w:t>and</w:t>
      </w:r>
      <w:r w:rsidRPr="00A57E6B">
        <w:rPr>
          <w:szCs w:val="24"/>
        </w:rPr>
        <w:t xml:space="preserve"> McLachlan, C. (Eds) 2002),  Building Capacity Strategic professional development for early childhood practitioners (Raban, Nolan, Waniganayake, Ure, Brown, </w:t>
      </w:r>
      <w:r>
        <w:rPr>
          <w:szCs w:val="24"/>
        </w:rPr>
        <w:t>and</w:t>
      </w:r>
      <w:r w:rsidRPr="00A57E6B">
        <w:rPr>
          <w:szCs w:val="24"/>
        </w:rPr>
        <w:t xml:space="preserve"> Deans, 2007) and Social contexts of early education and reconceptualising play (II) (Reifel, </w:t>
      </w:r>
      <w:r>
        <w:rPr>
          <w:szCs w:val="24"/>
        </w:rPr>
        <w:t>and</w:t>
      </w:r>
      <w:r w:rsidRPr="00A57E6B">
        <w:rPr>
          <w:szCs w:val="24"/>
        </w:rPr>
        <w:t xml:space="preserve"> Brown, (Eds) 2004).</w:t>
      </w:r>
    </w:p>
    <w:p w:rsidR="002E17D1" w:rsidRPr="00A57E6B" w:rsidRDefault="002E17D1" w:rsidP="002E17D1">
      <w:pPr>
        <w:rPr>
          <w:szCs w:val="24"/>
        </w:rPr>
      </w:pPr>
      <w:r w:rsidRPr="00A57E6B">
        <w:rPr>
          <w:szCs w:val="24"/>
        </w:rPr>
        <w:t xml:space="preserve">Reference has also been made to early childhood policy papers and the UN Convention on the Rights of the Child (1989). These were included for their direct influence on Australian early years policy and practice.  </w:t>
      </w:r>
    </w:p>
    <w:p w:rsidR="002E17D1" w:rsidRDefault="002E17D1" w:rsidP="002E17D1">
      <w:pPr>
        <w:pStyle w:val="Heading2"/>
      </w:pPr>
    </w:p>
    <w:p w:rsidR="002E17D1" w:rsidRDefault="002E17D1" w:rsidP="002E17D1">
      <w:pPr>
        <w:pStyle w:val="Heading2"/>
      </w:pPr>
    </w:p>
    <w:p w:rsidR="002E17D1" w:rsidRDefault="002E17D1" w:rsidP="002E17D1">
      <w:pPr>
        <w:pStyle w:val="Heading2"/>
      </w:pPr>
    </w:p>
    <w:p w:rsidR="002E17D1" w:rsidRDefault="002E17D1" w:rsidP="002E17D1">
      <w:pPr>
        <w:pStyle w:val="Heading2"/>
      </w:pPr>
    </w:p>
    <w:p w:rsidR="002E17D1" w:rsidRDefault="002E17D1" w:rsidP="002E17D1">
      <w:pPr>
        <w:pStyle w:val="Heading2"/>
      </w:pPr>
    </w:p>
    <w:p w:rsidR="002E17D1" w:rsidRDefault="002E17D1" w:rsidP="002E17D1">
      <w:pPr>
        <w:pStyle w:val="Heading2"/>
      </w:pPr>
    </w:p>
    <w:p w:rsidR="002E17D1" w:rsidRDefault="002E17D1" w:rsidP="002E17D1">
      <w:pPr>
        <w:pStyle w:val="Heading2"/>
      </w:pPr>
    </w:p>
    <w:bookmarkEnd w:id="58"/>
    <w:p w:rsidR="002E17D1" w:rsidRPr="0052750A" w:rsidRDefault="002E17D1" w:rsidP="002E17D1">
      <w:pPr>
        <w:pStyle w:val="Heading2"/>
      </w:pPr>
    </w:p>
    <w:p w:rsidR="002E17D1" w:rsidRPr="009208B2" w:rsidRDefault="002E17D1" w:rsidP="002E17D1">
      <w:pPr>
        <w:pStyle w:val="Heading2"/>
      </w:pPr>
      <w:bookmarkStart w:id="61" w:name="_Toc158862718"/>
      <w:r>
        <w:br w:type="page"/>
      </w:r>
      <w:bookmarkStart w:id="62" w:name="_Toc166906056"/>
      <w:bookmarkStart w:id="63" w:name="_Toc174694437"/>
      <w:r>
        <w:t>References</w:t>
      </w:r>
      <w:bookmarkEnd w:id="61"/>
      <w:bookmarkEnd w:id="62"/>
      <w:bookmarkEnd w:id="63"/>
    </w:p>
    <w:p w:rsidR="002E17D1" w:rsidRPr="009537C9" w:rsidRDefault="00BF0687" w:rsidP="002E17D1">
      <w:pPr>
        <w:pStyle w:val="Reference"/>
      </w:pPr>
      <w:r w:rsidRPr="009537C9">
        <w:t>Ahmed,</w:t>
      </w:r>
      <w:r>
        <w:t xml:space="preserve"> </w:t>
      </w:r>
      <w:r w:rsidRPr="009537C9">
        <w:t>W., Minnaert,</w:t>
      </w:r>
      <w:r>
        <w:t xml:space="preserve"> A., van der</w:t>
      </w:r>
      <w:r w:rsidRPr="009537C9">
        <w:t>,</w:t>
      </w:r>
      <w:r>
        <w:t xml:space="preserve"> </w:t>
      </w:r>
      <w:r w:rsidRPr="009537C9">
        <w:t>G.,</w:t>
      </w:r>
      <w:r>
        <w:t xml:space="preserve"> and Kuyper, H. (2008) Perceived social support and early adolescents’ achievement: The mediational roles of motivational beliefs and e</w:t>
      </w:r>
      <w:r w:rsidRPr="009537C9">
        <w:t xml:space="preserve">motions. </w:t>
      </w:r>
      <w:r w:rsidR="002E17D1" w:rsidRPr="002D7FBE">
        <w:rPr>
          <w:i/>
        </w:rPr>
        <w:t>Journal of Youth Adolescence</w:t>
      </w:r>
      <w:r w:rsidR="002E17D1">
        <w:t>,</w:t>
      </w:r>
      <w:r w:rsidR="002E17D1" w:rsidRPr="009537C9">
        <w:t xml:space="preserve"> 39</w:t>
      </w:r>
      <w:r w:rsidR="002E17D1">
        <w:t>(1)</w:t>
      </w:r>
      <w:r w:rsidR="002E17D1" w:rsidRPr="009537C9">
        <w:t xml:space="preserve">, 36–46. </w:t>
      </w:r>
    </w:p>
    <w:p w:rsidR="002E17D1" w:rsidRPr="009537C9" w:rsidRDefault="002E17D1" w:rsidP="002E17D1">
      <w:pPr>
        <w:pStyle w:val="Reference"/>
      </w:pPr>
    </w:p>
    <w:p w:rsidR="00F53DC7" w:rsidRPr="00D37271" w:rsidRDefault="00F53DC7" w:rsidP="00F53DC7">
      <w:pPr>
        <w:pStyle w:val="References"/>
        <w:rPr>
          <w:rFonts w:ascii="Helvetica" w:hAnsi="Helvetica" w:cs="Helvetica"/>
          <w:szCs w:val="24"/>
          <w:lang w:val="en-US"/>
        </w:rPr>
      </w:pPr>
      <w:r w:rsidRPr="00D37271">
        <w:rPr>
          <w:lang w:val="en-US"/>
        </w:rPr>
        <w:t xml:space="preserve">Atkinson J, Nelson J &amp; Atkinson C 2009. Trauma, transgenerational transfer and effects on community wellbeing. In: Purdie N, Dudgeon P &amp; Walker R (eds). </w:t>
      </w:r>
      <w:r w:rsidRPr="00D37271">
        <w:rPr>
          <w:i/>
          <w:lang w:val="en-US"/>
        </w:rPr>
        <w:t>Working together: Aboriginal and Torres Strait Islander and mental health and wellbeing principles and practice</w:t>
      </w:r>
      <w:r w:rsidRPr="00D37271">
        <w:rPr>
          <w:lang w:val="en-US"/>
        </w:rPr>
        <w:t xml:space="preserve">. Canberra: Department of Health and Ageing, 135–44. </w:t>
      </w:r>
    </w:p>
    <w:p w:rsidR="00F53DC7" w:rsidRDefault="00F53DC7" w:rsidP="002E17D1">
      <w:pPr>
        <w:pStyle w:val="Reference"/>
      </w:pPr>
    </w:p>
    <w:p w:rsidR="002E17D1" w:rsidRDefault="002E17D1" w:rsidP="002E17D1">
      <w:pPr>
        <w:pStyle w:val="Reference"/>
      </w:pPr>
      <w:r w:rsidRPr="009537C9">
        <w:t>Australian Bureau of Statistics (2010) Year Book Australia 2009-10 accessed on 11</w:t>
      </w:r>
      <w:r w:rsidRPr="009537C9">
        <w:rPr>
          <w:vertAlign w:val="superscript"/>
        </w:rPr>
        <w:t>th</w:t>
      </w:r>
      <w:r w:rsidRPr="009537C9">
        <w:t xml:space="preserve"> April 2011 via website: Australian Bureau of Stat</w:t>
      </w:r>
      <w:r>
        <w:t>ist</w:t>
      </w:r>
      <w:r w:rsidRPr="009537C9">
        <w:t>ics http://www.abs.gov.au/AUSSTATS/abs@.nsf/Latestproducts/1301.0Feature%20Article32009%E2%80%9310?opendocument</w:t>
      </w:r>
      <w:r>
        <w:t>and</w:t>
      </w:r>
      <w:r w:rsidRPr="009537C9">
        <w:t>tabname=Summary</w:t>
      </w:r>
      <w:r>
        <w:t>and</w:t>
      </w:r>
      <w:r w:rsidRPr="009537C9">
        <w:t>prodno=1301.0</w:t>
      </w:r>
      <w:r>
        <w:t>and</w:t>
      </w:r>
      <w:r w:rsidRPr="009537C9">
        <w:t>issue=2009%E2%80%9310</w:t>
      </w:r>
      <w:r>
        <w:t>and</w:t>
      </w:r>
      <w:r w:rsidRPr="009537C9">
        <w:t>num=</w:t>
      </w:r>
      <w:r>
        <w:t>and</w:t>
      </w:r>
      <w:r w:rsidRPr="009537C9">
        <w:t>view=</w:t>
      </w:r>
    </w:p>
    <w:p w:rsidR="002E17D1" w:rsidRPr="009537C9" w:rsidRDefault="002E17D1" w:rsidP="002E17D1">
      <w:pPr>
        <w:pStyle w:val="Reference"/>
      </w:pPr>
    </w:p>
    <w:p w:rsidR="002E17D1" w:rsidRDefault="002E17D1" w:rsidP="002E17D1">
      <w:pPr>
        <w:pStyle w:val="Reference"/>
      </w:pPr>
      <w:r w:rsidRPr="009537C9">
        <w:t>Australian Institute of Health and Welfare (2009). A picture of Australia’s children 2009. Cat. no. PHE 112.</w:t>
      </w:r>
      <w:r>
        <w:t xml:space="preserve"> </w:t>
      </w:r>
      <w:r w:rsidRPr="009537C9">
        <w:t>Canberra: AIHW.</w:t>
      </w:r>
    </w:p>
    <w:p w:rsidR="002E17D1" w:rsidRDefault="002E17D1" w:rsidP="002E17D1">
      <w:pPr>
        <w:pStyle w:val="Reference"/>
      </w:pPr>
    </w:p>
    <w:p w:rsidR="002E17D1" w:rsidRDefault="002E17D1" w:rsidP="002E17D1">
      <w:pPr>
        <w:pStyle w:val="Reference"/>
        <w:rPr>
          <w:szCs w:val="24"/>
        </w:rPr>
      </w:pPr>
      <w:r>
        <w:rPr>
          <w:szCs w:val="24"/>
        </w:rPr>
        <w:t xml:space="preserve">Bailey, D.B. </w:t>
      </w:r>
      <w:r w:rsidR="00BF0687">
        <w:rPr>
          <w:szCs w:val="24"/>
        </w:rPr>
        <w:t>and</w:t>
      </w:r>
      <w:r>
        <w:rPr>
          <w:szCs w:val="24"/>
        </w:rPr>
        <w:t xml:space="preserve"> Powell, T. (2005). Assessing the information needs of families in </w:t>
      </w:r>
    </w:p>
    <w:p w:rsidR="002E17D1" w:rsidRPr="00836F68" w:rsidRDefault="002E17D1" w:rsidP="002E17D1">
      <w:pPr>
        <w:pStyle w:val="Reference"/>
        <w:ind w:firstLine="0"/>
        <w:rPr>
          <w:i/>
          <w:szCs w:val="24"/>
        </w:rPr>
      </w:pPr>
      <w:r>
        <w:rPr>
          <w:szCs w:val="24"/>
        </w:rPr>
        <w:t xml:space="preserve">early intervention. In M. Guralnick (Ed.) </w:t>
      </w:r>
      <w:r w:rsidRPr="00836F68">
        <w:rPr>
          <w:i/>
          <w:szCs w:val="24"/>
        </w:rPr>
        <w:t xml:space="preserve">The Developmental Systems     </w:t>
      </w:r>
    </w:p>
    <w:p w:rsidR="002E17D1" w:rsidRDefault="002E17D1" w:rsidP="002E17D1">
      <w:pPr>
        <w:pStyle w:val="Reference"/>
        <w:ind w:firstLine="0"/>
        <w:rPr>
          <w:szCs w:val="24"/>
        </w:rPr>
      </w:pPr>
      <w:r w:rsidRPr="00836F68">
        <w:rPr>
          <w:i/>
          <w:szCs w:val="24"/>
        </w:rPr>
        <w:t>Approach to Early Intervention</w:t>
      </w:r>
      <w:r>
        <w:rPr>
          <w:szCs w:val="24"/>
        </w:rPr>
        <w:t xml:space="preserve">. Baltimore, Maryland: Paul H. Brookes. </w:t>
      </w:r>
    </w:p>
    <w:p w:rsidR="002E17D1" w:rsidRDefault="002E17D1" w:rsidP="002E17D1">
      <w:pPr>
        <w:pStyle w:val="Reference"/>
        <w:ind w:left="0" w:firstLine="0"/>
      </w:pPr>
    </w:p>
    <w:p w:rsidR="002E17D1" w:rsidRDefault="002E17D1" w:rsidP="002E17D1">
      <w:pPr>
        <w:pStyle w:val="Reference"/>
      </w:pPr>
      <w:r w:rsidRPr="002B66B9">
        <w:t>Be</w:t>
      </w:r>
      <w:r>
        <w:t>rzin, S.C. (2010). Educational aspirations among low-income youths: Examining multiple conceptual m</w:t>
      </w:r>
      <w:r w:rsidRPr="002B66B9">
        <w:t xml:space="preserve">odels. </w:t>
      </w:r>
      <w:r>
        <w:rPr>
          <w:i/>
        </w:rPr>
        <w:t>Children and</w:t>
      </w:r>
      <w:r w:rsidRPr="002D7FBE">
        <w:rPr>
          <w:i/>
        </w:rPr>
        <w:t xml:space="preserve"> Schools</w:t>
      </w:r>
      <w:r>
        <w:t xml:space="preserve">, 32(2), </w:t>
      </w:r>
      <w:r w:rsidRPr="002B66B9">
        <w:t>112-124</w:t>
      </w:r>
      <w:r>
        <w:t>.</w:t>
      </w:r>
    </w:p>
    <w:p w:rsidR="002E17D1" w:rsidRDefault="002E17D1" w:rsidP="002E17D1">
      <w:pPr>
        <w:pStyle w:val="Reference"/>
      </w:pPr>
    </w:p>
    <w:p w:rsidR="002E17D1" w:rsidRDefault="002E17D1" w:rsidP="002E17D1">
      <w:pPr>
        <w:pStyle w:val="Reference"/>
      </w:pPr>
      <w:r w:rsidRPr="009537C9">
        <w:t xml:space="preserve">Broderick, A., Mehta-Parekh, H., </w:t>
      </w:r>
      <w:r>
        <w:t>and</w:t>
      </w:r>
      <w:r w:rsidRPr="009537C9">
        <w:t xml:space="preserve"> </w:t>
      </w:r>
      <w:r>
        <w:t>Reid, K. (2005). Differentiating instruction for disabled students in inclusive c</w:t>
      </w:r>
      <w:r w:rsidRPr="009537C9">
        <w:t>lassrooms</w:t>
      </w:r>
      <w:r w:rsidRPr="002D7FBE">
        <w:rPr>
          <w:i/>
        </w:rPr>
        <w:t>. Theory into Practice,</w:t>
      </w:r>
      <w:r>
        <w:t xml:space="preserve"> 44(3), </w:t>
      </w:r>
      <w:r w:rsidRPr="009537C9">
        <w:t>194–202</w:t>
      </w:r>
      <w:r>
        <w:t>.</w:t>
      </w:r>
    </w:p>
    <w:p w:rsidR="002E17D1" w:rsidRDefault="002E17D1" w:rsidP="002E17D1">
      <w:pPr>
        <w:pStyle w:val="Reference"/>
      </w:pPr>
    </w:p>
    <w:p w:rsidR="002E17D1" w:rsidRDefault="002E17D1" w:rsidP="002E17D1">
      <w:pPr>
        <w:pStyle w:val="Reference"/>
      </w:pPr>
      <w:r w:rsidRPr="00C316E3">
        <w:t>Bronfenbrenner‎</w:t>
      </w:r>
      <w:r>
        <w:t>, U.</w:t>
      </w:r>
      <w:r w:rsidRPr="00C316E3">
        <w:t xml:space="preserve"> (1979). The Ecology of Human Development: Experiments by Nature and Design.</w:t>
      </w:r>
      <w:r>
        <w:t xml:space="preserve"> Cambridge: Harvard University Press.</w:t>
      </w:r>
    </w:p>
    <w:p w:rsidR="002E17D1" w:rsidRDefault="002E17D1" w:rsidP="002E17D1">
      <w:pPr>
        <w:pStyle w:val="Reference"/>
      </w:pPr>
    </w:p>
    <w:p w:rsidR="002E17D1" w:rsidRDefault="002E17D1" w:rsidP="002E17D1">
      <w:pPr>
        <w:pStyle w:val="Reference"/>
      </w:pPr>
      <w:r w:rsidRPr="00836F68">
        <w:t>Brownlee</w:t>
      </w:r>
      <w:r>
        <w:t>,</w:t>
      </w:r>
      <w:r w:rsidRPr="00836F68">
        <w:t xml:space="preserve"> J</w:t>
      </w:r>
      <w:r>
        <w:t>.</w:t>
      </w:r>
      <w:r w:rsidRPr="00836F68">
        <w:t>M</w:t>
      </w:r>
      <w:r>
        <w:t>.</w:t>
      </w:r>
      <w:r w:rsidRPr="00836F68">
        <w:t>, Boulton-Lewis</w:t>
      </w:r>
      <w:r>
        <w:t>,</w:t>
      </w:r>
      <w:r w:rsidRPr="00836F68">
        <w:t xml:space="preserve"> G</w:t>
      </w:r>
      <w:r>
        <w:t>.</w:t>
      </w:r>
      <w:r w:rsidRPr="00836F68">
        <w:t>M</w:t>
      </w:r>
      <w:r>
        <w:t>.</w:t>
      </w:r>
      <w:r w:rsidRPr="00836F68">
        <w:t>, Berthelsen</w:t>
      </w:r>
      <w:r>
        <w:t>,</w:t>
      </w:r>
      <w:r w:rsidRPr="00836F68">
        <w:t xml:space="preserve"> D</w:t>
      </w:r>
      <w:r>
        <w:t>.</w:t>
      </w:r>
      <w:r w:rsidRPr="00836F68">
        <w:t>C</w:t>
      </w:r>
      <w:r>
        <w:t>.</w:t>
      </w:r>
      <w:r w:rsidRPr="00836F68">
        <w:t xml:space="preserve">, (2008) Epistemological beliefs in child care: Implications for vocational education, </w:t>
      </w:r>
      <w:r w:rsidRPr="00836F68">
        <w:rPr>
          <w:i/>
        </w:rPr>
        <w:t>British Journal of Educational Psychology</w:t>
      </w:r>
      <w:r>
        <w:t xml:space="preserve">, 78(3), </w:t>
      </w:r>
      <w:r w:rsidRPr="00836F68">
        <w:t>457-471</w:t>
      </w:r>
    </w:p>
    <w:p w:rsidR="002E17D1" w:rsidRDefault="002E17D1" w:rsidP="002E17D1">
      <w:pPr>
        <w:pStyle w:val="Reference"/>
      </w:pPr>
    </w:p>
    <w:p w:rsidR="002E17D1" w:rsidRDefault="002E17D1" w:rsidP="002E17D1">
      <w:pPr>
        <w:pStyle w:val="Reference"/>
      </w:pPr>
      <w:r>
        <w:t xml:space="preserve">Cave, L., King, S.J., and Giugni, M. (2005). Chromatics: A whiter shade of pink. </w:t>
      </w:r>
      <w:r w:rsidRPr="002D7FBE">
        <w:rPr>
          <w:i/>
        </w:rPr>
        <w:t>International Journal of Equity and Innovation in Early Childhood</w:t>
      </w:r>
      <w:r>
        <w:t xml:space="preserve">, 3(1), 31-49. </w:t>
      </w:r>
    </w:p>
    <w:p w:rsidR="002E17D1" w:rsidRDefault="002E17D1" w:rsidP="002E17D1">
      <w:pPr>
        <w:pStyle w:val="Reference"/>
      </w:pPr>
    </w:p>
    <w:p w:rsidR="002E17D1" w:rsidRDefault="002E17D1" w:rsidP="002E17D1">
      <w:pPr>
        <w:pStyle w:val="Reference"/>
      </w:pPr>
      <w:r>
        <w:t>Changying, L. (2010). Home language: A stigma or a vehicle to literacy. Literacy learning the middle years, 18(1), 26-40.</w:t>
      </w:r>
    </w:p>
    <w:p w:rsidR="002E17D1" w:rsidRPr="009537C9" w:rsidRDefault="002E17D1" w:rsidP="002E17D1">
      <w:pPr>
        <w:pStyle w:val="Reference"/>
      </w:pPr>
    </w:p>
    <w:p w:rsidR="002E17D1" w:rsidRDefault="002E17D1" w:rsidP="002E17D1">
      <w:pPr>
        <w:pStyle w:val="Reference"/>
      </w:pPr>
      <w:r>
        <w:t>Clarke, P. (2009). Supporting children learning English as a second language in the early y</w:t>
      </w:r>
      <w:r w:rsidRPr="009537C9">
        <w:t xml:space="preserve">ears (birth to six years). Victorian Curriculum and Assessment Authority. </w:t>
      </w:r>
    </w:p>
    <w:p w:rsidR="002E17D1" w:rsidRDefault="002E17D1" w:rsidP="002E17D1">
      <w:pPr>
        <w:pStyle w:val="Reference"/>
      </w:pPr>
    </w:p>
    <w:p w:rsidR="002E17D1" w:rsidRPr="00E4166C" w:rsidRDefault="002E17D1" w:rsidP="002E17D1">
      <w:pPr>
        <w:pStyle w:val="Reference"/>
      </w:pPr>
      <w:r w:rsidRPr="00E4166C">
        <w:t xml:space="preserve">Commonwealth of Australia (2009). Belonging, Being, Becoming: An Early years </w:t>
      </w:r>
      <w:r>
        <w:t>L</w:t>
      </w:r>
      <w:r w:rsidRPr="00E4166C">
        <w:t xml:space="preserve">earning </w:t>
      </w:r>
      <w:r>
        <w:t>F</w:t>
      </w:r>
      <w:r w:rsidRPr="00E4166C">
        <w:t>ramework for Australia. Draft for t</w:t>
      </w:r>
      <w:r>
        <w:t>rial. Commonwealth of Australia.</w:t>
      </w:r>
    </w:p>
    <w:p w:rsidR="002E17D1" w:rsidRDefault="002E17D1" w:rsidP="002E17D1">
      <w:pPr>
        <w:pStyle w:val="Reference"/>
      </w:pPr>
    </w:p>
    <w:p w:rsidR="002E17D1" w:rsidRDefault="002E17D1" w:rsidP="002E17D1">
      <w:pPr>
        <w:pStyle w:val="Reference"/>
      </w:pPr>
      <w:r>
        <w:t xml:space="preserve">Dau, E. (Ed). (2003). </w:t>
      </w:r>
      <w:r>
        <w:rPr>
          <w:i/>
        </w:rPr>
        <w:t>Enhancing children’s d</w:t>
      </w:r>
      <w:r w:rsidRPr="002D7FBE">
        <w:rPr>
          <w:i/>
        </w:rPr>
        <w:t>evelopment</w:t>
      </w:r>
      <w:r>
        <w:t xml:space="preserve">. Croydon: Tertiary Press. </w:t>
      </w:r>
    </w:p>
    <w:p w:rsidR="002E17D1" w:rsidRDefault="002E17D1" w:rsidP="002E17D1">
      <w:pPr>
        <w:pStyle w:val="Reference"/>
      </w:pPr>
    </w:p>
    <w:p w:rsidR="002E17D1" w:rsidRDefault="002E17D1" w:rsidP="002E17D1">
      <w:pPr>
        <w:pStyle w:val="Reference"/>
      </w:pPr>
      <w:r>
        <w:t>DEECD (Department of Education and Early Childhood Development) (2010). Better opportunities, better outcomes. Melbourne: DEECD.</w:t>
      </w:r>
    </w:p>
    <w:p w:rsidR="002E17D1" w:rsidRDefault="002E17D1" w:rsidP="002E17D1">
      <w:pPr>
        <w:pStyle w:val="Reference"/>
      </w:pPr>
    </w:p>
    <w:p w:rsidR="002E17D1" w:rsidRDefault="002E17D1" w:rsidP="002E17D1">
      <w:pPr>
        <w:pStyle w:val="Reference"/>
      </w:pPr>
      <w:r>
        <w:t xml:space="preserve">DEECD (Department of Education and Early Childhood Development) </w:t>
      </w:r>
      <w:r w:rsidR="00BF0687">
        <w:t>and</w:t>
      </w:r>
      <w:r>
        <w:t xml:space="preserve"> VAEAI (Victorian Aboriginal Education Association Incorporated). (2008). </w:t>
      </w:r>
      <w:r w:rsidRPr="00BF5CBB">
        <w:rPr>
          <w:i/>
        </w:rPr>
        <w:t>Wannik. Learning Together Journey to our Future</w:t>
      </w:r>
      <w:r>
        <w:t xml:space="preserve">. Melbourne: Koorie Education Strategy Branch, System Policy and Research Division, Office for Policy, Research and Innovation, DEECD. </w:t>
      </w:r>
    </w:p>
    <w:p w:rsidR="002E17D1" w:rsidRDefault="002E17D1" w:rsidP="002E17D1">
      <w:pPr>
        <w:pStyle w:val="Reference"/>
      </w:pPr>
    </w:p>
    <w:p w:rsidR="002E17D1" w:rsidRDefault="00BF0687" w:rsidP="002E17D1">
      <w:pPr>
        <w:pStyle w:val="Reference"/>
      </w:pPr>
      <w:r>
        <w:t xml:space="preserve">Dopke, Susanne (ed.) (2000) </w:t>
      </w:r>
      <w:r>
        <w:rPr>
          <w:i/>
        </w:rPr>
        <w:t>Cross-linguistic structures in simultaneous b</w:t>
      </w:r>
      <w:r w:rsidRPr="002503C4">
        <w:rPr>
          <w:i/>
        </w:rPr>
        <w:t>ilingualism</w:t>
      </w:r>
      <w:r>
        <w:t xml:space="preserve">. </w:t>
      </w:r>
      <w:r w:rsidR="002E17D1">
        <w:t>Amsterdam: Benjamins.</w:t>
      </w:r>
    </w:p>
    <w:p w:rsidR="002E17D1" w:rsidRDefault="002E17D1" w:rsidP="002E17D1">
      <w:pPr>
        <w:pStyle w:val="Reference"/>
      </w:pPr>
    </w:p>
    <w:p w:rsidR="002E17D1" w:rsidRDefault="002E17D1" w:rsidP="002E17D1">
      <w:pPr>
        <w:pStyle w:val="Reference"/>
        <w:rPr>
          <w:szCs w:val="24"/>
        </w:rPr>
      </w:pPr>
      <w:r>
        <w:rPr>
          <w:szCs w:val="24"/>
        </w:rPr>
        <w:t xml:space="preserve">Dunst, C.J. (2007). Early intervention for infants and toddlers with developmental disabilities. In S.L. Odom, R.H. Horner, M.E. Snell and J. Blacher, J. (Eds.). </w:t>
      </w:r>
      <w:r w:rsidRPr="00836F68">
        <w:rPr>
          <w:i/>
          <w:szCs w:val="24"/>
        </w:rPr>
        <w:t>Handbook of Developmental Disabilities</w:t>
      </w:r>
      <w:r>
        <w:rPr>
          <w:szCs w:val="24"/>
        </w:rPr>
        <w:t>. New York: Guilford Press.</w:t>
      </w:r>
    </w:p>
    <w:p w:rsidR="002E17D1" w:rsidRDefault="002E17D1" w:rsidP="002E17D1">
      <w:pPr>
        <w:pStyle w:val="Reference"/>
        <w:rPr>
          <w:szCs w:val="24"/>
        </w:rPr>
      </w:pPr>
    </w:p>
    <w:p w:rsidR="002E17D1" w:rsidRDefault="00BF0687" w:rsidP="002E17D1">
      <w:pPr>
        <w:pStyle w:val="Reference"/>
        <w:rPr>
          <w:szCs w:val="24"/>
        </w:rPr>
      </w:pPr>
      <w:r>
        <w:rPr>
          <w:szCs w:val="24"/>
        </w:rPr>
        <w:t xml:space="preserve">Dunst, C.J., Trivette, C. and Hamby, D. (2007). Meta-analysis of family-centred helpgiving practices research. </w:t>
      </w:r>
      <w:r w:rsidR="002E17D1" w:rsidRPr="00836F68">
        <w:rPr>
          <w:i/>
          <w:szCs w:val="24"/>
        </w:rPr>
        <w:t>Mental Retardation and Developmental Disabilities Research Reviews</w:t>
      </w:r>
      <w:r w:rsidR="002E17D1">
        <w:rPr>
          <w:szCs w:val="24"/>
        </w:rPr>
        <w:t xml:space="preserve">, 13, 370-378. </w:t>
      </w:r>
    </w:p>
    <w:p w:rsidR="002E17D1" w:rsidRPr="009537C9" w:rsidRDefault="002E17D1" w:rsidP="002E17D1">
      <w:pPr>
        <w:pStyle w:val="Reference"/>
        <w:ind w:left="0" w:firstLine="0"/>
      </w:pPr>
    </w:p>
    <w:p w:rsidR="002E17D1" w:rsidRDefault="002E17D1" w:rsidP="002E17D1">
      <w:pPr>
        <w:pStyle w:val="Reference"/>
      </w:pPr>
      <w:r w:rsidRPr="009537C9">
        <w:t xml:space="preserve">Durand, T. (2008). Celebrating diversity in early care and education settings: moving beyond the margins. </w:t>
      </w:r>
      <w:r w:rsidRPr="002D7FBE">
        <w:rPr>
          <w:i/>
        </w:rPr>
        <w:t>Early Child Development and Care</w:t>
      </w:r>
      <w:r>
        <w:t>, 180</w:t>
      </w:r>
      <w:r w:rsidRPr="009537C9">
        <w:t>(7)</w:t>
      </w:r>
      <w:r>
        <w:t>, 835-</w:t>
      </w:r>
      <w:r w:rsidRPr="009537C9">
        <w:t xml:space="preserve">848. </w:t>
      </w:r>
    </w:p>
    <w:p w:rsidR="002E17D1" w:rsidRPr="009537C9" w:rsidRDefault="002E17D1" w:rsidP="002E17D1">
      <w:pPr>
        <w:pStyle w:val="Reference"/>
      </w:pPr>
    </w:p>
    <w:p w:rsidR="002E17D1" w:rsidRDefault="002E17D1" w:rsidP="002E17D1">
      <w:pPr>
        <w:pStyle w:val="Reference"/>
      </w:pPr>
      <w:r w:rsidRPr="009537C9">
        <w:t>Ebbeck, M.A</w:t>
      </w:r>
      <w:r>
        <w:t>., Dela Cerna, C.H.  (2007). A study of child rearing practices amongst selected Sudanese families in S</w:t>
      </w:r>
      <w:r w:rsidRPr="009537C9">
        <w:t>outh Australia: Implic</w:t>
      </w:r>
      <w:r>
        <w:t>ations for child care service s</w:t>
      </w:r>
      <w:r w:rsidRPr="009537C9">
        <w:t xml:space="preserve">election. </w:t>
      </w:r>
      <w:r w:rsidRPr="002D7FBE">
        <w:rPr>
          <w:i/>
        </w:rPr>
        <w:t>Early Childhood Education Journal</w:t>
      </w:r>
      <w:r>
        <w:t xml:space="preserve">, 34(5), </w:t>
      </w:r>
      <w:r w:rsidRPr="009537C9">
        <w:t xml:space="preserve">307-314. </w:t>
      </w:r>
    </w:p>
    <w:p w:rsidR="002E17D1" w:rsidRDefault="002E17D1" w:rsidP="002E17D1">
      <w:pPr>
        <w:pStyle w:val="Reference"/>
      </w:pPr>
    </w:p>
    <w:p w:rsidR="002E17D1" w:rsidRDefault="002E17D1" w:rsidP="002E17D1">
      <w:pPr>
        <w:pStyle w:val="Reference"/>
      </w:pPr>
      <w:r>
        <w:t xml:space="preserve">Eijck, M.V., and Roth, W.M. (2010). </w:t>
      </w:r>
      <w:r w:rsidRPr="00005A0E">
        <w:t>Towards a chronotopic theory of “place” in place-based</w:t>
      </w:r>
      <w:r>
        <w:t xml:space="preserve"> </w:t>
      </w:r>
      <w:r w:rsidRPr="00005A0E">
        <w:t>education</w:t>
      </w:r>
      <w:r>
        <w:t xml:space="preserve">. </w:t>
      </w:r>
      <w:r w:rsidRPr="002D7FBE">
        <w:rPr>
          <w:i/>
        </w:rPr>
        <w:t>Cultural Studies of Science Education</w:t>
      </w:r>
      <w:r>
        <w:t xml:space="preserve">, 5, </w:t>
      </w:r>
      <w:r w:rsidRPr="00005A0E">
        <w:t>869–898</w:t>
      </w:r>
      <w:r>
        <w:t>.</w:t>
      </w:r>
    </w:p>
    <w:p w:rsidR="002E17D1" w:rsidRDefault="002E17D1" w:rsidP="002E17D1">
      <w:pPr>
        <w:pStyle w:val="Reference"/>
      </w:pPr>
    </w:p>
    <w:p w:rsidR="002E17D1" w:rsidRDefault="002E17D1" w:rsidP="002E17D1">
      <w:pPr>
        <w:pStyle w:val="Reference"/>
      </w:pPr>
      <w:r>
        <w:t xml:space="preserve">Espe-Sherwindt, M. (2008). </w:t>
      </w:r>
      <w:r w:rsidRPr="00DC7F48">
        <w:t>Family-centred practice:</w:t>
      </w:r>
      <w:r>
        <w:t xml:space="preserve"> </w:t>
      </w:r>
      <w:r w:rsidRPr="00DC7F48">
        <w:t>collaboration, competency</w:t>
      </w:r>
      <w:r>
        <w:t xml:space="preserve"> </w:t>
      </w:r>
      <w:r w:rsidRPr="00DC7F48">
        <w:t>and evidence</w:t>
      </w:r>
      <w:r>
        <w:t xml:space="preserve">. </w:t>
      </w:r>
      <w:r w:rsidRPr="002D7FBE">
        <w:rPr>
          <w:i/>
        </w:rPr>
        <w:t>Support for Learning</w:t>
      </w:r>
      <w:r>
        <w:t>, 23(3), 136-143.</w:t>
      </w:r>
    </w:p>
    <w:p w:rsidR="002E17D1" w:rsidRDefault="002E17D1" w:rsidP="002E17D1">
      <w:pPr>
        <w:pStyle w:val="Reference"/>
      </w:pPr>
    </w:p>
    <w:p w:rsidR="002E17D1" w:rsidRPr="002D7FBE" w:rsidRDefault="002E17D1" w:rsidP="002E17D1">
      <w:pPr>
        <w:pStyle w:val="Reference"/>
      </w:pPr>
      <w:r w:rsidRPr="002D7FBE">
        <w:t xml:space="preserve">Fettes, M., </w:t>
      </w:r>
      <w:r>
        <w:t>and</w:t>
      </w:r>
      <w:r w:rsidRPr="002D7FBE">
        <w:t xml:space="preserve"> Judson, G. </w:t>
      </w:r>
      <w:r>
        <w:t>(2011) Imagination and the cognitive tools of place-m</w:t>
      </w:r>
      <w:r w:rsidRPr="002D7FBE">
        <w:t xml:space="preserve">aking, </w:t>
      </w:r>
      <w:r w:rsidRPr="002D7FBE">
        <w:rPr>
          <w:i/>
        </w:rPr>
        <w:t>The Journal of Environmental Education</w:t>
      </w:r>
      <w:r>
        <w:t xml:space="preserve">, 42(2), </w:t>
      </w:r>
      <w:r w:rsidRPr="002D7FBE">
        <w:t>123-135.</w:t>
      </w:r>
    </w:p>
    <w:p w:rsidR="002E17D1" w:rsidRPr="002D7FBE" w:rsidRDefault="002E17D1" w:rsidP="002E17D1">
      <w:pPr>
        <w:pStyle w:val="Reference"/>
      </w:pPr>
    </w:p>
    <w:p w:rsidR="002E17D1" w:rsidRPr="002D7FBE" w:rsidRDefault="002E17D1" w:rsidP="002E17D1">
      <w:pPr>
        <w:pStyle w:val="Reference"/>
      </w:pPr>
      <w:r w:rsidRPr="002D7FBE">
        <w:t xml:space="preserve">Forman, P (Ed). (2008). </w:t>
      </w:r>
      <w:r>
        <w:rPr>
          <w:i/>
        </w:rPr>
        <w:t>Inclusion in a</w:t>
      </w:r>
      <w:r w:rsidRPr="002D7FBE">
        <w:rPr>
          <w:i/>
        </w:rPr>
        <w:t>ction</w:t>
      </w:r>
      <w:r>
        <w:rPr>
          <w:i/>
        </w:rPr>
        <w:t>,</w:t>
      </w:r>
      <w:r w:rsidRPr="002D7FBE">
        <w:t xml:space="preserve"> 2</w:t>
      </w:r>
      <w:r w:rsidRPr="002D7FBE">
        <w:rPr>
          <w:vertAlign w:val="superscript"/>
        </w:rPr>
        <w:t>nd</w:t>
      </w:r>
      <w:r w:rsidRPr="002D7FBE">
        <w:t xml:space="preserve"> ed. South Melbourne: Thompson.</w:t>
      </w:r>
    </w:p>
    <w:p w:rsidR="002E17D1" w:rsidRPr="002D7FBE" w:rsidRDefault="002E17D1" w:rsidP="002E17D1">
      <w:pPr>
        <w:pStyle w:val="Reference"/>
      </w:pPr>
    </w:p>
    <w:p w:rsidR="002E17D1" w:rsidRPr="002D7FBE" w:rsidRDefault="002E17D1" w:rsidP="002E17D1">
      <w:pPr>
        <w:pStyle w:val="Reference"/>
      </w:pPr>
      <w:r w:rsidRPr="002D7FBE">
        <w:t xml:space="preserve">Freeman, L., </w:t>
      </w:r>
      <w:r>
        <w:t>and</w:t>
      </w:r>
      <w:r w:rsidRPr="002D7FBE">
        <w:t xml:space="preserve"> Bochner, S. (2008</w:t>
      </w:r>
      <w:r>
        <w:t>). Bridging the Gap. Improving literacy outcomes for         Indigenous s</w:t>
      </w:r>
      <w:r w:rsidRPr="002D7FBE">
        <w:t xml:space="preserve">tudents. </w:t>
      </w:r>
      <w:r w:rsidRPr="002D7FBE">
        <w:rPr>
          <w:i/>
        </w:rPr>
        <w:t>Australian Journal of Early Childhood</w:t>
      </w:r>
      <w:r>
        <w:t xml:space="preserve">, 33(4), </w:t>
      </w:r>
      <w:r w:rsidRPr="002D7FBE">
        <w:t xml:space="preserve">9-16. </w:t>
      </w:r>
    </w:p>
    <w:p w:rsidR="002E17D1" w:rsidRPr="002D7FBE" w:rsidRDefault="002E17D1" w:rsidP="002E17D1">
      <w:pPr>
        <w:pStyle w:val="Reference"/>
      </w:pPr>
    </w:p>
    <w:p w:rsidR="002E17D1" w:rsidRPr="002D7FBE" w:rsidRDefault="002E17D1" w:rsidP="002E17D1">
      <w:pPr>
        <w:pStyle w:val="Reference"/>
      </w:pPr>
      <w:r>
        <w:t xml:space="preserve">Grace, R., </w:t>
      </w:r>
      <w:r w:rsidRPr="002D7FBE">
        <w:t xml:space="preserve">Llewwllyn, G., Wedgwood, N., Fenech, M., </w:t>
      </w:r>
      <w:r>
        <w:t>and</w:t>
      </w:r>
      <w:r w:rsidRPr="002D7FBE">
        <w:t xml:space="preserve"> </w:t>
      </w:r>
      <w:r>
        <w:t>McConnell, D. (2008). Far From ideal. Everyday experiences of mothers and early childhood professionals negotiating an inclusive early childhood e</w:t>
      </w:r>
      <w:r w:rsidRPr="002D7FBE">
        <w:t>xperience in the Austral</w:t>
      </w:r>
      <w:r>
        <w:t>ian c</w:t>
      </w:r>
      <w:r w:rsidRPr="002D7FBE">
        <w:t xml:space="preserve">ontext. </w:t>
      </w:r>
      <w:r w:rsidRPr="002D7FBE">
        <w:rPr>
          <w:i/>
        </w:rPr>
        <w:t>Topics in Early Childhood Special Education</w:t>
      </w:r>
      <w:r>
        <w:rPr>
          <w:i/>
        </w:rPr>
        <w:t xml:space="preserve">, </w:t>
      </w:r>
      <w:r>
        <w:t xml:space="preserve">28(1), </w:t>
      </w:r>
      <w:r w:rsidRPr="002D7FBE">
        <w:t xml:space="preserve">18-30. </w:t>
      </w:r>
    </w:p>
    <w:p w:rsidR="002E17D1" w:rsidRDefault="002E17D1" w:rsidP="002E17D1">
      <w:pPr>
        <w:pStyle w:val="Reference"/>
      </w:pPr>
    </w:p>
    <w:p w:rsidR="002E17D1" w:rsidRPr="002D7FBE" w:rsidRDefault="00BF0687" w:rsidP="002E17D1">
      <w:pPr>
        <w:pStyle w:val="Reference"/>
      </w:pPr>
      <w:r>
        <w:t xml:space="preserve">Guilfoyle, A., </w:t>
      </w:r>
      <w:r w:rsidRPr="002D7FBE">
        <w:t>Saggers, S.,</w:t>
      </w:r>
      <w:r>
        <w:t xml:space="preserve"> Sims, M.,</w:t>
      </w:r>
      <w:r w:rsidRPr="002D7FBE">
        <w:t xml:space="preserve">  </w:t>
      </w:r>
      <w:r>
        <w:t>and</w:t>
      </w:r>
      <w:r w:rsidRPr="002D7FBE">
        <w:t xml:space="preserve"> Hutchins, T. (2010). </w:t>
      </w:r>
      <w:r w:rsidR="002E17D1" w:rsidRPr="002D7FBE">
        <w:t xml:space="preserve">Culturally strong childcare programs for Indigenous children, families and communities. </w:t>
      </w:r>
      <w:r w:rsidR="002E17D1" w:rsidRPr="002D7FBE">
        <w:rPr>
          <w:i/>
        </w:rPr>
        <w:t>Australasian Journal of Early Childhood</w:t>
      </w:r>
      <w:r w:rsidR="002E17D1">
        <w:rPr>
          <w:i/>
        </w:rPr>
        <w:t xml:space="preserve">, </w:t>
      </w:r>
      <w:r w:rsidR="002E17D1">
        <w:t>35</w:t>
      </w:r>
      <w:r w:rsidR="002E17D1" w:rsidRPr="002D7FBE">
        <w:t>(3)</w:t>
      </w:r>
      <w:r w:rsidR="002E17D1">
        <w:t xml:space="preserve">, </w:t>
      </w:r>
      <w:r w:rsidR="002E17D1" w:rsidRPr="002D7FBE">
        <w:t xml:space="preserve">68-76. </w:t>
      </w:r>
    </w:p>
    <w:p w:rsidR="002E17D1" w:rsidRPr="009537C9" w:rsidRDefault="002E17D1" w:rsidP="002E17D1">
      <w:pPr>
        <w:pStyle w:val="Reference"/>
      </w:pPr>
    </w:p>
    <w:p w:rsidR="002E17D1" w:rsidRPr="002D7FBE" w:rsidRDefault="002E17D1" w:rsidP="002E17D1">
      <w:pPr>
        <w:pStyle w:val="Reference"/>
        <w:rPr>
          <w:i/>
        </w:rPr>
      </w:pPr>
      <w:r w:rsidRPr="009537C9">
        <w:t xml:space="preserve">Gunn, A.C. Child, C., Madden, B., Purdue, K., Surtees, N., Thurlow, B. </w:t>
      </w:r>
      <w:r>
        <w:t>and</w:t>
      </w:r>
      <w:r w:rsidRPr="009537C9">
        <w:t xml:space="preserve"> Todd, P. (2004). Building inclusive communities in early childhood education: Diverse perspectives from Aotearoa New Zealand. </w:t>
      </w:r>
      <w:r w:rsidRPr="002D7FBE">
        <w:rPr>
          <w:i/>
        </w:rPr>
        <w:t>Contemporary Issue</w:t>
      </w:r>
      <w:r>
        <w:rPr>
          <w:i/>
        </w:rPr>
        <w:t>s in Early Childhood, 5</w:t>
      </w:r>
      <w:r w:rsidRPr="002D7FBE">
        <w:t>(3), 293-308.</w:t>
      </w:r>
    </w:p>
    <w:p w:rsidR="002E17D1" w:rsidRDefault="002E17D1" w:rsidP="002E17D1">
      <w:pPr>
        <w:pStyle w:val="Reference"/>
      </w:pPr>
    </w:p>
    <w:p w:rsidR="002E17D1" w:rsidRDefault="002E17D1" w:rsidP="002E17D1">
      <w:pPr>
        <w:pStyle w:val="Reference"/>
      </w:pPr>
      <w:r w:rsidRPr="009E28FF">
        <w:t>Halvorsen, A.,</w:t>
      </w:r>
      <w:r>
        <w:t xml:space="preserve"> Lee, V., Andrade ,F. (2009) A mixed-method study of teachers’ attitudes about teaching in urban and low-income s</w:t>
      </w:r>
      <w:r w:rsidRPr="009E28FF">
        <w:t xml:space="preserve">chools. </w:t>
      </w:r>
      <w:r w:rsidRPr="002D7FBE">
        <w:rPr>
          <w:i/>
        </w:rPr>
        <w:t>Urban Education</w:t>
      </w:r>
      <w:r>
        <w:t xml:space="preserve">, 44(2), </w:t>
      </w:r>
      <w:r w:rsidRPr="009E28FF">
        <w:t>181-224</w:t>
      </w:r>
      <w:r>
        <w:t>.</w:t>
      </w:r>
    </w:p>
    <w:p w:rsidR="002E17D1" w:rsidRDefault="002E17D1" w:rsidP="002E17D1">
      <w:pPr>
        <w:pStyle w:val="Reference"/>
      </w:pPr>
    </w:p>
    <w:p w:rsidR="002E17D1" w:rsidRPr="009537C9" w:rsidRDefault="002E17D1" w:rsidP="002E17D1">
      <w:pPr>
        <w:pStyle w:val="Reference"/>
      </w:pPr>
      <w:r>
        <w:t xml:space="preserve">Harrison, N., and Greenfield, M. (2011). </w:t>
      </w:r>
      <w:r w:rsidRPr="00B7664E">
        <w:t>Relationship to place: positioning Aboriginal knowledge</w:t>
      </w:r>
      <w:r>
        <w:t xml:space="preserve"> </w:t>
      </w:r>
      <w:r w:rsidRPr="00B7664E">
        <w:t>and persp</w:t>
      </w:r>
      <w:r>
        <w:t xml:space="preserve">ectives in classroom pedagogies. </w:t>
      </w:r>
      <w:r w:rsidRPr="002D7FBE">
        <w:rPr>
          <w:i/>
        </w:rPr>
        <w:t>Critical Studies in Education</w:t>
      </w:r>
      <w:r>
        <w:rPr>
          <w:i/>
        </w:rPr>
        <w:t>,</w:t>
      </w:r>
      <w:r w:rsidRPr="00B7664E">
        <w:t xml:space="preserve"> </w:t>
      </w:r>
      <w:r>
        <w:t>52(1), 65-</w:t>
      </w:r>
      <w:r w:rsidRPr="00B7664E">
        <w:t>76</w:t>
      </w:r>
      <w:r>
        <w:t>.</w:t>
      </w:r>
    </w:p>
    <w:p w:rsidR="002E17D1" w:rsidRPr="009537C9" w:rsidRDefault="002E17D1" w:rsidP="002E17D1">
      <w:pPr>
        <w:pStyle w:val="Reference"/>
      </w:pPr>
    </w:p>
    <w:p w:rsidR="002E17D1" w:rsidRDefault="002E17D1" w:rsidP="002E17D1">
      <w:pPr>
        <w:pStyle w:val="Reference"/>
      </w:pPr>
      <w:r>
        <w:t>Hyland, N.E. (2010). Social justice in early childhood c</w:t>
      </w:r>
      <w:r w:rsidRPr="009537C9">
        <w:t>lassrooms</w:t>
      </w:r>
      <w:r>
        <w:t xml:space="preserve">: What the research tells us. </w:t>
      </w:r>
      <w:r w:rsidRPr="00D04E43">
        <w:rPr>
          <w:i/>
        </w:rPr>
        <w:t>Young Children</w:t>
      </w:r>
      <w:r>
        <w:t xml:space="preserve">, 65(1), </w:t>
      </w:r>
      <w:r w:rsidRPr="009537C9">
        <w:t>82-90.</w:t>
      </w:r>
    </w:p>
    <w:p w:rsidR="002E17D1" w:rsidRDefault="002E17D1" w:rsidP="002E17D1">
      <w:pPr>
        <w:pStyle w:val="Reference"/>
      </w:pPr>
    </w:p>
    <w:p w:rsidR="00F53DC7" w:rsidRPr="00D37271" w:rsidRDefault="00F53DC7" w:rsidP="00F53DC7">
      <w:pPr>
        <w:pStyle w:val="References"/>
      </w:pPr>
      <w:r w:rsidRPr="00D37271">
        <w:t xml:space="preserve">Imtoual, A., Kameniar, B., &amp; Bradley, D., (2009) Bottling the good stuff: Stories of hospitality and yarnin’ in a multi-racial kindergarten. </w:t>
      </w:r>
      <w:r w:rsidRPr="00D37271">
        <w:rPr>
          <w:i/>
        </w:rPr>
        <w:t>Australian Journal of Early Childhood</w:t>
      </w:r>
      <w:r w:rsidRPr="00D37271">
        <w:t>. 34 (2), 24-30.</w:t>
      </w:r>
    </w:p>
    <w:p w:rsidR="00F53DC7" w:rsidRDefault="00F53DC7" w:rsidP="002E17D1">
      <w:pPr>
        <w:pStyle w:val="Reference"/>
      </w:pPr>
    </w:p>
    <w:p w:rsidR="002E17D1" w:rsidRDefault="002E17D1" w:rsidP="002E17D1">
      <w:pPr>
        <w:pStyle w:val="Reference"/>
      </w:pPr>
      <w:r>
        <w:t xml:space="preserve">Kernan, M. (2010) </w:t>
      </w:r>
      <w:r w:rsidRPr="00815828">
        <w:t>Space and place as a source of belonging and participation in urban environments: considering the role of early childh</w:t>
      </w:r>
      <w:r>
        <w:t>ood education and care settings</w:t>
      </w:r>
      <w:r w:rsidRPr="00815828">
        <w:t xml:space="preserve"> </w:t>
      </w:r>
      <w:r w:rsidRPr="00D04E43">
        <w:rPr>
          <w:i/>
        </w:rPr>
        <w:t>European Early Childhood Education Research Journal</w:t>
      </w:r>
      <w:r>
        <w:t>, 18(2), 199-</w:t>
      </w:r>
      <w:r w:rsidRPr="00815828">
        <w:t>213</w:t>
      </w:r>
      <w:r>
        <w:t>.</w:t>
      </w:r>
    </w:p>
    <w:p w:rsidR="002E17D1" w:rsidRDefault="002E17D1" w:rsidP="002E17D1">
      <w:pPr>
        <w:pStyle w:val="Reference"/>
      </w:pPr>
    </w:p>
    <w:p w:rsidR="002E17D1" w:rsidRDefault="002E17D1" w:rsidP="002E17D1">
      <w:pPr>
        <w:pStyle w:val="Reference"/>
      </w:pPr>
      <w:r>
        <w:t xml:space="preserve">Kitson, R., and Bowes, J. (2010). </w:t>
      </w:r>
      <w:r w:rsidRPr="00F9125E">
        <w:t>Incorporating Indigenous ways of knowing in early</w:t>
      </w:r>
      <w:r>
        <w:t xml:space="preserve"> </w:t>
      </w:r>
      <w:r w:rsidRPr="00F9125E">
        <w:t>education for Indigenous children</w:t>
      </w:r>
      <w:r>
        <w:t xml:space="preserve">. </w:t>
      </w:r>
      <w:r w:rsidRPr="00D04E43">
        <w:rPr>
          <w:i/>
        </w:rPr>
        <w:t>Australasian Journal of Early Childhood</w:t>
      </w:r>
      <w:r>
        <w:t>, 39(4), 81-89.</w:t>
      </w:r>
    </w:p>
    <w:p w:rsidR="002E17D1" w:rsidRPr="009537C9" w:rsidRDefault="002E17D1" w:rsidP="002E17D1">
      <w:pPr>
        <w:pStyle w:val="Reference"/>
      </w:pPr>
    </w:p>
    <w:p w:rsidR="002E17D1" w:rsidRDefault="002E17D1" w:rsidP="002E17D1">
      <w:pPr>
        <w:pStyle w:val="Reference"/>
      </w:pPr>
      <w:r w:rsidRPr="009537C9">
        <w:t xml:space="preserve">Lappalainen, S. (2009). Making differences and reflecting on diversities: embodied nationality among preschool children. </w:t>
      </w:r>
      <w:r w:rsidRPr="00D04E43">
        <w:rPr>
          <w:i/>
        </w:rPr>
        <w:t>International Journal of Inclusive Education</w:t>
      </w:r>
      <w:r>
        <w:t xml:space="preserve"> 13(1), </w:t>
      </w:r>
      <w:r w:rsidRPr="009537C9">
        <w:t xml:space="preserve">63-78. </w:t>
      </w:r>
    </w:p>
    <w:p w:rsidR="002E17D1" w:rsidRDefault="002E17D1" w:rsidP="002E17D1">
      <w:pPr>
        <w:pStyle w:val="Reference"/>
      </w:pPr>
    </w:p>
    <w:p w:rsidR="002E17D1" w:rsidRDefault="002E17D1" w:rsidP="002E17D1">
      <w:pPr>
        <w:pStyle w:val="Reference"/>
      </w:pPr>
      <w:r>
        <w:t>Lewis, E., Mansfield, C., and Baudains, C. (2010).</w:t>
      </w:r>
      <w:r w:rsidRPr="0088551F">
        <w:t xml:space="preserve"> Going on a turtle egg hunt and other adventures:</w:t>
      </w:r>
      <w:r>
        <w:t xml:space="preserve"> </w:t>
      </w:r>
      <w:r w:rsidRPr="0088551F">
        <w:t>Education for sustainability in early childhood</w:t>
      </w:r>
      <w:r>
        <w:t xml:space="preserve">. </w:t>
      </w:r>
      <w:r w:rsidRPr="00D04E43">
        <w:rPr>
          <w:i/>
        </w:rPr>
        <w:t>Australasian Journal of Early Childhood</w:t>
      </w:r>
      <w:r>
        <w:rPr>
          <w:i/>
        </w:rPr>
        <w:t xml:space="preserve">, </w:t>
      </w:r>
      <w:r>
        <w:t xml:space="preserve">35(4), 95-100. </w:t>
      </w:r>
    </w:p>
    <w:p w:rsidR="002E17D1" w:rsidRDefault="002E17D1" w:rsidP="002E17D1">
      <w:pPr>
        <w:pStyle w:val="Reference"/>
      </w:pPr>
    </w:p>
    <w:p w:rsidR="002E17D1" w:rsidRDefault="002E17D1" w:rsidP="002E17D1">
      <w:pPr>
        <w:pStyle w:val="Reference"/>
      </w:pPr>
      <w:r>
        <w:t xml:space="preserve">Llewellyn, G., Thompson, K., and Fante, M. (2002). Inclusion in early childhood services. </w:t>
      </w:r>
      <w:r w:rsidRPr="00D04E43">
        <w:t>Ongoing challenges.</w:t>
      </w:r>
      <w:r>
        <w:t xml:space="preserve"> </w:t>
      </w:r>
      <w:r w:rsidRPr="00D04E43">
        <w:rPr>
          <w:i/>
        </w:rPr>
        <w:t>Australian Journal of Early Childhood</w:t>
      </w:r>
      <w:r>
        <w:t>, 27 (3) pp 18-23</w:t>
      </w:r>
    </w:p>
    <w:p w:rsidR="002E17D1" w:rsidRPr="009537C9" w:rsidRDefault="002E17D1" w:rsidP="002E17D1">
      <w:pPr>
        <w:pStyle w:val="Reference"/>
      </w:pPr>
    </w:p>
    <w:p w:rsidR="002E17D1" w:rsidRDefault="002E17D1" w:rsidP="002E17D1">
      <w:pPr>
        <w:pStyle w:val="Reference"/>
      </w:pPr>
      <w:r>
        <w:t>Macmillan, A. (2004). Take home numeracy kits for preschool c</w:t>
      </w:r>
      <w:r w:rsidRPr="009537C9">
        <w:t xml:space="preserve">hildren. </w:t>
      </w:r>
      <w:r w:rsidRPr="00D04E43">
        <w:rPr>
          <w:i/>
        </w:rPr>
        <w:t>Australian Journal of Early Childhood</w:t>
      </w:r>
      <w:r>
        <w:rPr>
          <w:i/>
        </w:rPr>
        <w:t xml:space="preserve">, </w:t>
      </w:r>
      <w:r>
        <w:t xml:space="preserve">29(2), </w:t>
      </w:r>
      <w:r w:rsidRPr="009537C9">
        <w:t xml:space="preserve">29-40. </w:t>
      </w:r>
    </w:p>
    <w:p w:rsidR="002E17D1" w:rsidRDefault="002E17D1" w:rsidP="002E17D1">
      <w:pPr>
        <w:pStyle w:val="Reference"/>
      </w:pPr>
    </w:p>
    <w:p w:rsidR="002E17D1" w:rsidRDefault="002E17D1" w:rsidP="002E17D1">
      <w:pPr>
        <w:pStyle w:val="Reference"/>
      </w:pPr>
      <w:r>
        <w:t>Makin, L., Diaz, C.J., and McLachlan, C. (Eds). (2002).</w:t>
      </w:r>
      <w:r w:rsidRPr="00D04E43">
        <w:rPr>
          <w:i/>
        </w:rPr>
        <w:t xml:space="preserve"> Literacies in early childhood: Challenging views challenging practice</w:t>
      </w:r>
      <w:r>
        <w:t xml:space="preserve">. Sydney: Maclennan and Petty. </w:t>
      </w:r>
    </w:p>
    <w:p w:rsidR="002E17D1" w:rsidRPr="009537C9" w:rsidRDefault="002E17D1" w:rsidP="002E17D1">
      <w:pPr>
        <w:pStyle w:val="Reference"/>
      </w:pPr>
    </w:p>
    <w:p w:rsidR="002E17D1" w:rsidRDefault="002E17D1" w:rsidP="002E17D1">
      <w:pPr>
        <w:pStyle w:val="Reference"/>
      </w:pPr>
      <w:r w:rsidRPr="009537C9">
        <w:t>Moh</w:t>
      </w:r>
      <w:r>
        <w:t>ay, H., and Reid, E. (2006). The inclusion of children with a disability in child c</w:t>
      </w:r>
      <w:r w:rsidRPr="009537C9">
        <w:t xml:space="preserve">are. The influence of experience, training and attitudes of childcare staff. </w:t>
      </w:r>
      <w:r w:rsidRPr="00D04E43">
        <w:rPr>
          <w:i/>
        </w:rPr>
        <w:t>Austral</w:t>
      </w:r>
      <w:r>
        <w:rPr>
          <w:i/>
        </w:rPr>
        <w:t xml:space="preserve">ian Journal of Early Childhood, </w:t>
      </w:r>
      <w:r>
        <w:t xml:space="preserve">31(1), </w:t>
      </w:r>
      <w:r w:rsidRPr="009537C9">
        <w:t xml:space="preserve">35-41. </w:t>
      </w:r>
    </w:p>
    <w:p w:rsidR="002E17D1" w:rsidRDefault="002E17D1" w:rsidP="002E17D1">
      <w:pPr>
        <w:pStyle w:val="Reference"/>
      </w:pPr>
    </w:p>
    <w:p w:rsidR="002E17D1" w:rsidRDefault="002E17D1" w:rsidP="002E17D1">
      <w:pPr>
        <w:pStyle w:val="Reference"/>
      </w:pPr>
      <w:r w:rsidRPr="009844B4">
        <w:t xml:space="preserve">Montague, M., </w:t>
      </w:r>
      <w:r>
        <w:t>and Rinaldi, C. (2001). Classroom dynamics and children at risk: A follow u</w:t>
      </w:r>
      <w:r w:rsidRPr="009844B4">
        <w:t xml:space="preserve">p. </w:t>
      </w:r>
      <w:r w:rsidRPr="00D04E43">
        <w:rPr>
          <w:i/>
        </w:rPr>
        <w:t>Learning Disability Quarterly</w:t>
      </w:r>
      <w:r>
        <w:t xml:space="preserve">, 24, </w:t>
      </w:r>
      <w:r w:rsidRPr="009844B4">
        <w:t>75 -83.</w:t>
      </w:r>
    </w:p>
    <w:p w:rsidR="002E17D1" w:rsidRPr="00C45B53" w:rsidRDefault="002E17D1" w:rsidP="002E17D1">
      <w:pPr>
        <w:pStyle w:val="Reference"/>
        <w:ind w:left="0" w:firstLine="0"/>
      </w:pPr>
    </w:p>
    <w:p w:rsidR="002E17D1" w:rsidRPr="00C45B53" w:rsidRDefault="002E17D1" w:rsidP="002E17D1">
      <w:pPr>
        <w:pStyle w:val="Reference"/>
        <w:rPr>
          <w:rFonts w:ascii="Helvetica" w:hAnsi="Helvetica" w:cs="Helvetica"/>
        </w:rPr>
      </w:pPr>
      <w:r>
        <w:t>Moore, T.G. and</w:t>
      </w:r>
      <w:r w:rsidRPr="00C45B53">
        <w:t xml:space="preserve"> Larkin, H. (2006). </w:t>
      </w:r>
      <w:r w:rsidRPr="00836F68">
        <w:rPr>
          <w:bCs/>
          <w:i/>
        </w:rPr>
        <w:t>‘More Than My Child’s Disability’: A Comprehensive Review of Family-Centred Practice and Family Experiences of Early Childhood Intervention Services</w:t>
      </w:r>
      <w:r w:rsidRPr="00C45B53">
        <w:rPr>
          <w:bCs/>
        </w:rPr>
        <w:t>.</w:t>
      </w:r>
      <w:r w:rsidRPr="00C45B53">
        <w:t xml:space="preserve"> Melbourne, </w:t>
      </w:r>
      <w:r>
        <w:rPr>
          <w:rFonts w:ascii="Helvetica" w:hAnsi="Helvetica" w:cs="Helvetica"/>
        </w:rPr>
        <w:t>V</w:t>
      </w:r>
      <w:r w:rsidRPr="00C45B53">
        <w:t xml:space="preserve">ictoria: Scope (Vic) Inc. http://www.rch.org.au/emplibrary/ccch/EY_Mod2_Reading.pdf </w:t>
      </w:r>
    </w:p>
    <w:p w:rsidR="002E17D1" w:rsidRPr="009537C9" w:rsidRDefault="002E17D1" w:rsidP="002E17D1">
      <w:pPr>
        <w:pStyle w:val="Reference"/>
      </w:pPr>
    </w:p>
    <w:p w:rsidR="002E17D1" w:rsidRDefault="002E17D1" w:rsidP="002E17D1">
      <w:pPr>
        <w:pStyle w:val="Reference"/>
      </w:pPr>
      <w:r w:rsidRPr="009537C9">
        <w:t>Neuenschwander, M.P., Vida, M., Garrett, J.L.,</w:t>
      </w:r>
      <w:r>
        <w:t xml:space="preserve"> and</w:t>
      </w:r>
      <w:r w:rsidRPr="009537C9">
        <w:t xml:space="preserve"> Eccles, J.S. (2007). Parents' expectations and students' achievement in two western nations.</w:t>
      </w:r>
      <w:r w:rsidRPr="007221B2">
        <w:rPr>
          <w:i/>
        </w:rPr>
        <w:t xml:space="preserve"> International Journal of Behavioral Development</w:t>
      </w:r>
      <w:r>
        <w:t xml:space="preserve">, 31, </w:t>
      </w:r>
      <w:r w:rsidRPr="009537C9">
        <w:t>594- 603.</w:t>
      </w:r>
    </w:p>
    <w:p w:rsidR="002E17D1" w:rsidRDefault="002E17D1" w:rsidP="002E17D1">
      <w:pPr>
        <w:pStyle w:val="Reference"/>
      </w:pPr>
    </w:p>
    <w:p w:rsidR="002E17D1" w:rsidRPr="009537C9" w:rsidRDefault="002E17D1" w:rsidP="002E17D1">
      <w:pPr>
        <w:pStyle w:val="Reference"/>
      </w:pPr>
      <w:r w:rsidRPr="008A16FF">
        <w:t xml:space="preserve">Patrick, H., Mantzicopoulos, P., Samarapungavan, A., </w:t>
      </w:r>
      <w:r>
        <w:t>and</w:t>
      </w:r>
      <w:r w:rsidRPr="008A16FF">
        <w:t xml:space="preserve"> French, .F. (2008). Patterns of Young Children's Motivation for Science and Teacher-Child Relationships. </w:t>
      </w:r>
      <w:r w:rsidRPr="00FB7F92">
        <w:rPr>
          <w:i/>
        </w:rPr>
        <w:t>Journal of Experimental Education,</w:t>
      </w:r>
      <w:r>
        <w:t xml:space="preserve">76(2), </w:t>
      </w:r>
      <w:r w:rsidRPr="008A16FF">
        <w:t>121-144</w:t>
      </w:r>
    </w:p>
    <w:p w:rsidR="002E17D1" w:rsidRDefault="002E17D1" w:rsidP="002E17D1">
      <w:pPr>
        <w:pStyle w:val="Reference"/>
      </w:pPr>
    </w:p>
    <w:p w:rsidR="00F53DC7" w:rsidRPr="00F53DC7" w:rsidRDefault="00F53DC7" w:rsidP="00F53DC7">
      <w:pPr>
        <w:pStyle w:val="Reference"/>
        <w:rPr>
          <w:lang w:val="en-AU"/>
        </w:rPr>
      </w:pPr>
      <w:r w:rsidRPr="00F53DC7">
        <w:rPr>
          <w:lang w:val="en-AU"/>
        </w:rPr>
        <w:t>Pennington, G. (2009) Storytelling in the second language classroom. TESOL in Context, 19 (1), 5-22.</w:t>
      </w:r>
    </w:p>
    <w:p w:rsidR="00F53DC7" w:rsidRPr="009537C9" w:rsidRDefault="00F53DC7" w:rsidP="002E17D1">
      <w:pPr>
        <w:pStyle w:val="Reference"/>
      </w:pPr>
    </w:p>
    <w:p w:rsidR="002E17D1" w:rsidRDefault="002E17D1" w:rsidP="002E17D1">
      <w:pPr>
        <w:pStyle w:val="Reference"/>
      </w:pPr>
      <w:r w:rsidRPr="009537C9">
        <w:t xml:space="preserve">Petriwskyj, A. (2010). Diversity and inclusion in the early years. </w:t>
      </w:r>
      <w:r w:rsidRPr="00FB7F92">
        <w:rPr>
          <w:i/>
        </w:rPr>
        <w:t>International Journal of Inclusive Education</w:t>
      </w:r>
      <w:r>
        <w:t>, 14(2), 195-</w:t>
      </w:r>
      <w:r w:rsidRPr="009537C9">
        <w:t>212.</w:t>
      </w:r>
    </w:p>
    <w:p w:rsidR="002E17D1" w:rsidRDefault="002E17D1" w:rsidP="002E17D1">
      <w:pPr>
        <w:pStyle w:val="Reference"/>
      </w:pPr>
    </w:p>
    <w:p w:rsidR="00F53DC7" w:rsidRDefault="00F53DC7" w:rsidP="002E17D1">
      <w:pPr>
        <w:pStyle w:val="Reference"/>
      </w:pPr>
      <w:r w:rsidRPr="00D37271">
        <w:t xml:space="preserve">Potter, G. (2007). Sociocultural diversity and literacy teaching in complex times: The challenges for early childhood educators. </w:t>
      </w:r>
      <w:r w:rsidRPr="00D37271">
        <w:rPr>
          <w:i/>
          <w:iCs/>
        </w:rPr>
        <w:t>Childhood Education,</w:t>
      </w:r>
      <w:r w:rsidRPr="00D37271">
        <w:t xml:space="preserve"> 84(2), 64-69.</w:t>
      </w:r>
    </w:p>
    <w:p w:rsidR="00F53DC7" w:rsidRDefault="00F53DC7" w:rsidP="002E17D1">
      <w:pPr>
        <w:pStyle w:val="Reference"/>
      </w:pPr>
    </w:p>
    <w:p w:rsidR="002E17D1" w:rsidRPr="00D509FD" w:rsidRDefault="002E17D1" w:rsidP="002E17D1">
      <w:pPr>
        <w:pStyle w:val="Reference"/>
      </w:pPr>
      <w:r>
        <w:t>Purdue, K. (2009). Barriers to and f</w:t>
      </w:r>
      <w:r w:rsidRPr="00D509FD">
        <w:t>acilitators of</w:t>
      </w:r>
      <w:r>
        <w:t xml:space="preserve"> inclusion for children with d</w:t>
      </w:r>
      <w:r w:rsidRPr="00D509FD">
        <w:t>isabilities</w:t>
      </w:r>
    </w:p>
    <w:p w:rsidR="002E17D1" w:rsidRDefault="002E17D1" w:rsidP="002E17D1">
      <w:pPr>
        <w:pStyle w:val="Reference"/>
        <w:ind w:firstLine="0"/>
      </w:pPr>
      <w:r>
        <w:t>in early childhood e</w:t>
      </w:r>
      <w:r w:rsidRPr="00D509FD">
        <w:t>ducation</w:t>
      </w:r>
      <w:r>
        <w:t xml:space="preserve">. </w:t>
      </w:r>
      <w:r w:rsidRPr="00FB7F92">
        <w:rPr>
          <w:i/>
        </w:rPr>
        <w:t>Contemporary Issues in Early Childhood</w:t>
      </w:r>
      <w:r>
        <w:t>, 10(2), 133-143.</w:t>
      </w:r>
    </w:p>
    <w:p w:rsidR="002E17D1" w:rsidRDefault="002E17D1" w:rsidP="002E17D1">
      <w:pPr>
        <w:pStyle w:val="Reference"/>
      </w:pPr>
    </w:p>
    <w:p w:rsidR="002E17D1" w:rsidRDefault="002E17D1" w:rsidP="002E17D1">
      <w:pPr>
        <w:pStyle w:val="Reference"/>
      </w:pPr>
      <w:r w:rsidRPr="009806F8">
        <w:t>Raban, B., Nolan, A., Waniganayake, M., Ure, C.,</w:t>
      </w:r>
      <w:r>
        <w:t xml:space="preserve"> Brown, R., and Deans, J. (2007). </w:t>
      </w:r>
    </w:p>
    <w:p w:rsidR="002E17D1" w:rsidRDefault="002E17D1" w:rsidP="002E17D1">
      <w:pPr>
        <w:pStyle w:val="Reference"/>
        <w:ind w:firstLine="0"/>
      </w:pPr>
      <w:r w:rsidRPr="00FB7F92">
        <w:rPr>
          <w:i/>
        </w:rPr>
        <w:t>Building capacity:  Strategic professional development for early childhood practitioners</w:t>
      </w:r>
      <w:r w:rsidRPr="009806F8">
        <w:t>. Melbourne: Thomson Social Science Press.</w:t>
      </w:r>
    </w:p>
    <w:p w:rsidR="002E17D1" w:rsidRDefault="002E17D1" w:rsidP="002E17D1">
      <w:pPr>
        <w:pStyle w:val="Reference"/>
      </w:pPr>
    </w:p>
    <w:p w:rsidR="002E17D1" w:rsidRDefault="002E17D1" w:rsidP="002E17D1">
      <w:pPr>
        <w:pStyle w:val="Reference"/>
      </w:pPr>
      <w:r>
        <w:t xml:space="preserve">Reifel, S., and Brown, M.H. (Eds). (2004). </w:t>
      </w:r>
      <w:r w:rsidRPr="00FB7F92">
        <w:rPr>
          <w:i/>
        </w:rPr>
        <w:t xml:space="preserve">Social contexts of early education and reconceptualising play (II). </w:t>
      </w:r>
      <w:r>
        <w:t xml:space="preserve">New York: Elsevier. </w:t>
      </w:r>
    </w:p>
    <w:p w:rsidR="002E17D1" w:rsidRDefault="002E17D1" w:rsidP="002E17D1">
      <w:pPr>
        <w:pStyle w:val="Reference"/>
      </w:pPr>
    </w:p>
    <w:p w:rsidR="002E17D1" w:rsidRDefault="002E17D1" w:rsidP="002E17D1">
      <w:pPr>
        <w:pStyle w:val="Reference"/>
      </w:pPr>
      <w:r>
        <w:t xml:space="preserve">Riggs, D.W., and Due, C. (2010). </w:t>
      </w:r>
      <w:r w:rsidRPr="00841ABC">
        <w:t>Friendship, exclusion and power:</w:t>
      </w:r>
      <w:r>
        <w:t xml:space="preserve"> </w:t>
      </w:r>
      <w:r w:rsidRPr="00841ABC">
        <w:t>A study of two South Australian schools with new arrivals</w:t>
      </w:r>
      <w:r>
        <w:t xml:space="preserve"> </w:t>
      </w:r>
      <w:r w:rsidRPr="00841ABC">
        <w:t>programs</w:t>
      </w:r>
      <w:r>
        <w:t xml:space="preserve">. </w:t>
      </w:r>
      <w:r w:rsidRPr="00FB7F92">
        <w:rPr>
          <w:i/>
        </w:rPr>
        <w:t>Australasian Journal of Early Childhood</w:t>
      </w:r>
      <w:r>
        <w:t xml:space="preserve">, 35(4), 73-80. </w:t>
      </w:r>
    </w:p>
    <w:p w:rsidR="002E17D1" w:rsidRDefault="002E17D1" w:rsidP="002E17D1">
      <w:pPr>
        <w:pStyle w:val="Reference"/>
      </w:pPr>
    </w:p>
    <w:p w:rsidR="002E17D1" w:rsidRDefault="002E17D1" w:rsidP="002E17D1">
      <w:pPr>
        <w:pStyle w:val="Reference"/>
      </w:pPr>
      <w:r w:rsidRPr="0021677F">
        <w:t>Rodger,</w:t>
      </w:r>
      <w:r>
        <w:t xml:space="preserve"> S.,</w:t>
      </w:r>
      <w:r w:rsidRPr="0021677F">
        <w:t xml:space="preserve"> Braithwaite,</w:t>
      </w:r>
      <w:r>
        <w:t xml:space="preserve"> M.,</w:t>
      </w:r>
      <w:r w:rsidRPr="0021677F">
        <w:t xml:space="preserve"> </w:t>
      </w:r>
      <w:r>
        <w:t>and</w:t>
      </w:r>
      <w:r w:rsidRPr="0021677F">
        <w:t xml:space="preserve"> Keen</w:t>
      </w:r>
      <w:r>
        <w:t>, D.</w:t>
      </w:r>
      <w:r w:rsidRPr="0021677F">
        <w:t xml:space="preserve"> </w:t>
      </w:r>
      <w:r>
        <w:t>(</w:t>
      </w:r>
      <w:r w:rsidRPr="0021677F">
        <w:t>2004</w:t>
      </w:r>
      <w:r>
        <w:t xml:space="preserve">). Early intervention for children with autism: Parental priorities. </w:t>
      </w:r>
      <w:r w:rsidRPr="00FB7F92">
        <w:rPr>
          <w:i/>
        </w:rPr>
        <w:t>Australian Journal of Early Childhood</w:t>
      </w:r>
      <w:r>
        <w:t>, 29(3), 34-41.</w:t>
      </w:r>
    </w:p>
    <w:p w:rsidR="002E17D1" w:rsidRDefault="002E17D1" w:rsidP="002E17D1">
      <w:pPr>
        <w:pStyle w:val="Reference"/>
      </w:pPr>
    </w:p>
    <w:p w:rsidR="002E17D1" w:rsidRPr="009537C9" w:rsidRDefault="002E17D1" w:rsidP="002E17D1">
      <w:pPr>
        <w:pStyle w:val="Reference"/>
      </w:pPr>
      <w:r w:rsidRPr="00F635CB">
        <w:t xml:space="preserve">Rubie-Davies, C.M. (2006). Teacher expectations and student self-perceptions. Exploring relationships. </w:t>
      </w:r>
      <w:r w:rsidRPr="00FB7F92">
        <w:rPr>
          <w:i/>
        </w:rPr>
        <w:t>Psychology in the Schools</w:t>
      </w:r>
      <w:r w:rsidRPr="00F635CB">
        <w:t>, 43(5)</w:t>
      </w:r>
      <w:r>
        <w:t xml:space="preserve">, </w:t>
      </w:r>
      <w:r w:rsidRPr="00FB7F92">
        <w:t>537–552</w:t>
      </w:r>
      <w:r w:rsidRPr="00F635CB">
        <w:t>.</w:t>
      </w:r>
    </w:p>
    <w:p w:rsidR="002E17D1" w:rsidRPr="009537C9" w:rsidRDefault="002E17D1" w:rsidP="002E17D1">
      <w:pPr>
        <w:pStyle w:val="Reference"/>
      </w:pPr>
    </w:p>
    <w:p w:rsidR="002E17D1" w:rsidRDefault="002E17D1" w:rsidP="002E17D1">
      <w:pPr>
        <w:pStyle w:val="Reference"/>
      </w:pPr>
      <w:r w:rsidRPr="009537C9">
        <w:t xml:space="preserve">Sarra, C. (2008). Transforming Aboriginal Identity through transforming mindsets. </w:t>
      </w:r>
      <w:r w:rsidRPr="00FB7F92">
        <w:rPr>
          <w:i/>
        </w:rPr>
        <w:t>International Journal of Equity and Innovation in Early Childhood</w:t>
      </w:r>
      <w:r>
        <w:t xml:space="preserve">, 6(1), </w:t>
      </w:r>
      <w:r w:rsidRPr="009537C9">
        <w:t xml:space="preserve">1-10. </w:t>
      </w:r>
    </w:p>
    <w:p w:rsidR="002E17D1" w:rsidRDefault="002E17D1" w:rsidP="002E17D1">
      <w:pPr>
        <w:pStyle w:val="Reference"/>
      </w:pPr>
    </w:p>
    <w:p w:rsidR="002E17D1" w:rsidRPr="009537C9" w:rsidRDefault="002E17D1" w:rsidP="002E17D1">
      <w:pPr>
        <w:pStyle w:val="Reference"/>
      </w:pPr>
      <w:r>
        <w:t xml:space="preserve">Stamopolous, E. (2006). Empowering pre-service teachers to embrace diversity. </w:t>
      </w:r>
      <w:r w:rsidRPr="00FB7F92">
        <w:rPr>
          <w:i/>
        </w:rPr>
        <w:t>Australian Journal of Early Childhood</w:t>
      </w:r>
      <w:r>
        <w:t xml:space="preserve">, 31(4), 30-39. </w:t>
      </w:r>
    </w:p>
    <w:p w:rsidR="002E17D1" w:rsidRPr="009537C9" w:rsidRDefault="002E17D1" w:rsidP="002E17D1">
      <w:pPr>
        <w:pStyle w:val="Reference"/>
      </w:pPr>
    </w:p>
    <w:p w:rsidR="00F53DC7" w:rsidRPr="00D37271" w:rsidRDefault="00F53DC7" w:rsidP="00F53DC7">
      <w:pPr>
        <w:pStyle w:val="References"/>
        <w:ind w:hanging="436"/>
      </w:pPr>
      <w:r w:rsidRPr="00D37271">
        <w:t>Suarez-Orozco, M., Suarez-Orozco, C. and Sattin-Bajaj, C. (2010) Making migration work.</w:t>
      </w:r>
      <w:r w:rsidRPr="00D37271">
        <w:rPr>
          <w:rFonts w:cs="Trebuchet MS"/>
          <w:i/>
          <w:iCs/>
          <w:szCs w:val="18"/>
          <w:lang w:val="en-US"/>
        </w:rPr>
        <w:t xml:space="preserve"> Peabody Journal of Education</w:t>
      </w:r>
      <w:r w:rsidRPr="00D37271">
        <w:rPr>
          <w:rFonts w:cs="Trebuchet MS"/>
          <w:szCs w:val="18"/>
          <w:lang w:val="en-US"/>
        </w:rPr>
        <w:t>, 85 (4), 535-551.</w:t>
      </w:r>
    </w:p>
    <w:p w:rsidR="00F53DC7" w:rsidRDefault="00F53DC7" w:rsidP="002E17D1">
      <w:pPr>
        <w:pStyle w:val="Reference"/>
      </w:pPr>
    </w:p>
    <w:p w:rsidR="002E17D1" w:rsidRDefault="002E17D1" w:rsidP="002E17D1">
      <w:pPr>
        <w:pStyle w:val="Reference"/>
      </w:pPr>
      <w:r w:rsidRPr="009537C9">
        <w:t xml:space="preserve">Sylva, K., Siraj-Blatchford, I., Taggart, B., Sammons, P., Melhuish, E., Elliot, K., </w:t>
      </w:r>
      <w:r>
        <w:t>and</w:t>
      </w:r>
      <w:r w:rsidRPr="009537C9">
        <w:t xml:space="preserve"> Totsika, V. (2006). Capturing quality in early childhood through environmental rating scales. </w:t>
      </w:r>
      <w:r w:rsidRPr="00FB7F92">
        <w:rPr>
          <w:i/>
        </w:rPr>
        <w:t>Early Childhood Research Quarterly</w:t>
      </w:r>
      <w:r>
        <w:t xml:space="preserve">, 21(1), </w:t>
      </w:r>
      <w:r w:rsidRPr="009537C9">
        <w:t xml:space="preserve">67-92. </w:t>
      </w:r>
    </w:p>
    <w:p w:rsidR="002E17D1" w:rsidRDefault="002E17D1" w:rsidP="002E17D1">
      <w:pPr>
        <w:pStyle w:val="Reference"/>
      </w:pPr>
    </w:p>
    <w:p w:rsidR="002E17D1" w:rsidRDefault="002E17D1" w:rsidP="002E17D1">
      <w:pPr>
        <w:pStyle w:val="Reference"/>
      </w:pPr>
      <w:r>
        <w:t xml:space="preserve">Talay-Ongan, A. (2004). </w:t>
      </w:r>
      <w:r w:rsidRPr="00FB7F92">
        <w:rPr>
          <w:i/>
        </w:rPr>
        <w:t>Early development risk and disability</w:t>
      </w:r>
      <w:r>
        <w:t>. Frenchs Forest: Pearson.</w:t>
      </w:r>
    </w:p>
    <w:p w:rsidR="002E17D1" w:rsidRDefault="002E17D1" w:rsidP="002E17D1">
      <w:pPr>
        <w:pStyle w:val="Reference"/>
      </w:pPr>
      <w:r>
        <w:t xml:space="preserve"> </w:t>
      </w:r>
    </w:p>
    <w:p w:rsidR="00F53DC7" w:rsidRPr="00D37271" w:rsidRDefault="00F53DC7" w:rsidP="00F53DC7">
      <w:pPr>
        <w:pStyle w:val="References"/>
      </w:pPr>
      <w:r w:rsidRPr="00D37271">
        <w:rPr>
          <w:lang w:val="en-US"/>
        </w:rPr>
        <w:t>Turnbull, A.P. and Turnbull, H.R. (2000).</w:t>
      </w:r>
      <w:r w:rsidRPr="00D37271">
        <w:rPr>
          <w:i/>
          <w:lang w:val="en-US"/>
        </w:rPr>
        <w:t xml:space="preserve"> Families, professionals, and exceptionality: Collaborating for empowerment </w:t>
      </w:r>
      <w:r w:rsidRPr="00D37271">
        <w:rPr>
          <w:lang w:val="en-US"/>
        </w:rPr>
        <w:t>(4th Ed.).  Upper Saddle River, New Jersey: Merrill / Prentice Hall.</w:t>
      </w:r>
    </w:p>
    <w:p w:rsidR="00F53DC7" w:rsidRDefault="00F53DC7" w:rsidP="002E17D1">
      <w:pPr>
        <w:pStyle w:val="Reference"/>
      </w:pPr>
    </w:p>
    <w:p w:rsidR="002E17D1" w:rsidRDefault="002E17D1" w:rsidP="002E17D1">
      <w:pPr>
        <w:pStyle w:val="Reference"/>
      </w:pPr>
      <w:r w:rsidRPr="00A57E6B">
        <w:t xml:space="preserve">United Nations, (1989). </w:t>
      </w:r>
      <w:r w:rsidRPr="00FB7F92">
        <w:rPr>
          <w:i/>
        </w:rPr>
        <w:t>Convention on the Rights of the Child</w:t>
      </w:r>
      <w:r w:rsidRPr="00A57E6B">
        <w:t>. Geneva: Office of the United Nations High Commissioner for Human Rights.</w:t>
      </w:r>
    </w:p>
    <w:p w:rsidR="002E17D1" w:rsidRDefault="002E17D1" w:rsidP="002E17D1">
      <w:pPr>
        <w:pStyle w:val="Reference"/>
      </w:pPr>
    </w:p>
    <w:p w:rsidR="002E17D1" w:rsidRDefault="002E17D1" w:rsidP="002E17D1">
      <w:pPr>
        <w:pStyle w:val="Reference"/>
        <w:rPr>
          <w:lang w:val="en-AU"/>
        </w:rPr>
      </w:pPr>
      <w:r w:rsidRPr="000B28DA">
        <w:rPr>
          <w:lang w:val="en-AU"/>
        </w:rPr>
        <w:t>Vandenbroeck</w:t>
      </w:r>
      <w:r>
        <w:rPr>
          <w:lang w:val="en-AU"/>
        </w:rPr>
        <w:t xml:space="preserve">, M. </w:t>
      </w:r>
      <w:r w:rsidRPr="000B28DA">
        <w:rPr>
          <w:lang w:val="en-AU"/>
        </w:rPr>
        <w:t>(2007) 'Beyond anti-bias education: changing conceptions of diversity and equity</w:t>
      </w:r>
      <w:r w:rsidRPr="007A557E">
        <w:rPr>
          <w:lang w:val="en-AU"/>
        </w:rPr>
        <w:t xml:space="preserve"> </w:t>
      </w:r>
      <w:r w:rsidRPr="000B28DA">
        <w:rPr>
          <w:lang w:val="en-AU"/>
        </w:rPr>
        <w:t>in European early childhood education',</w:t>
      </w:r>
      <w:r>
        <w:rPr>
          <w:lang w:val="en-AU"/>
        </w:rPr>
        <w:t xml:space="preserve"> </w:t>
      </w:r>
      <w:r w:rsidRPr="007A557E">
        <w:rPr>
          <w:i/>
          <w:lang w:val="en-AU"/>
        </w:rPr>
        <w:t>European Early Childhood Education Research Journal</w:t>
      </w:r>
      <w:r>
        <w:rPr>
          <w:lang w:val="en-AU"/>
        </w:rPr>
        <w:t>, 15 (1), 21-</w:t>
      </w:r>
      <w:r w:rsidRPr="000B28DA">
        <w:rPr>
          <w:lang w:val="en-AU"/>
        </w:rPr>
        <w:t>35</w:t>
      </w:r>
      <w:r>
        <w:rPr>
          <w:lang w:val="en-AU"/>
        </w:rPr>
        <w:t xml:space="preserve">. </w:t>
      </w:r>
    </w:p>
    <w:p w:rsidR="002E17D1" w:rsidRDefault="002E17D1" w:rsidP="002E17D1">
      <w:pPr>
        <w:pStyle w:val="Reference"/>
        <w:rPr>
          <w:lang w:val="en-AU"/>
        </w:rPr>
      </w:pPr>
    </w:p>
    <w:p w:rsidR="002E17D1" w:rsidRDefault="002E17D1" w:rsidP="002E17D1">
      <w:pPr>
        <w:pStyle w:val="Reference"/>
        <w:rPr>
          <w:lang w:val="en-AU"/>
        </w:rPr>
      </w:pPr>
      <w:r>
        <w:rPr>
          <w:rFonts w:eastAsia="Times New Roman" w:cs="Arial"/>
          <w:szCs w:val="24"/>
          <w:lang w:eastAsia="en-AU"/>
        </w:rPr>
        <w:t>Victorian Equal Opportunity and Human Rights Commission (2008).</w:t>
      </w:r>
      <w:r w:rsidRPr="005D2E51">
        <w:t xml:space="preserve"> </w:t>
      </w:r>
      <w:r>
        <w:t>The Victorian Charter of Human Rights and Responsibilities.</w:t>
      </w:r>
      <w:r w:rsidRPr="00643AFE">
        <w:t xml:space="preserve"> </w:t>
      </w:r>
      <w:r>
        <w:t>Accessed on 7</w:t>
      </w:r>
      <w:r w:rsidRPr="00643AFE">
        <w:rPr>
          <w:vertAlign w:val="superscript"/>
        </w:rPr>
        <w:t>th</w:t>
      </w:r>
      <w:r>
        <w:t xml:space="preserve"> August 2011 via website: </w:t>
      </w:r>
      <w:r>
        <w:rPr>
          <w:rFonts w:eastAsia="Times New Roman" w:cs="Arial"/>
          <w:szCs w:val="24"/>
          <w:lang w:eastAsia="en-AU"/>
        </w:rPr>
        <w:t xml:space="preserve">Victorian Equal Opportunity and Human Rights Commission </w:t>
      </w:r>
      <w:r w:rsidRPr="00643AFE">
        <w:rPr>
          <w:rFonts w:eastAsia="Times New Roman" w:cs="Arial"/>
          <w:szCs w:val="24"/>
          <w:lang w:eastAsia="en-AU"/>
        </w:rPr>
        <w:t>http://www.humanrightscommission.vic.gov.au/index.php?option=com_k2&amp;view=item&amp;layout=item&amp;id=764&amp;Itemid=515</w:t>
      </w:r>
    </w:p>
    <w:p w:rsidR="002E17D1" w:rsidRDefault="002E17D1" w:rsidP="002E17D1">
      <w:pPr>
        <w:pStyle w:val="Reference"/>
        <w:rPr>
          <w:lang w:val="en-AU"/>
        </w:rPr>
      </w:pPr>
    </w:p>
    <w:p w:rsidR="002E17D1" w:rsidRPr="007A557E" w:rsidRDefault="002E17D1" w:rsidP="002E17D1">
      <w:pPr>
        <w:pStyle w:val="Reference"/>
        <w:rPr>
          <w:lang w:val="en-AU"/>
        </w:rPr>
      </w:pPr>
      <w:r>
        <w:rPr>
          <w:rFonts w:eastAsia="Times New Roman" w:cs="Arial"/>
          <w:szCs w:val="24"/>
          <w:lang w:eastAsia="en-AU"/>
        </w:rPr>
        <w:t>Victorian Equal Opportunity and Human Rights Commission (2008).</w:t>
      </w:r>
      <w:r w:rsidRPr="005D2E51">
        <w:t xml:space="preserve"> </w:t>
      </w:r>
      <w:r>
        <w:t>The Equal Opportunity Act 2010 Quick Guide. Accessed on 7</w:t>
      </w:r>
      <w:r w:rsidRPr="00643AFE">
        <w:rPr>
          <w:vertAlign w:val="superscript"/>
        </w:rPr>
        <w:t>th</w:t>
      </w:r>
      <w:r>
        <w:t xml:space="preserve"> August 2011 via website: </w:t>
      </w:r>
      <w:r>
        <w:rPr>
          <w:rFonts w:eastAsia="Times New Roman" w:cs="Arial"/>
          <w:szCs w:val="24"/>
          <w:lang w:eastAsia="en-AU"/>
        </w:rPr>
        <w:t>Victorian Equal Opportunity and Human Rights Commission</w:t>
      </w:r>
      <w:r w:rsidRPr="00643AFE">
        <w:rPr>
          <w:rFonts w:eastAsia="Times New Roman" w:cs="Arial"/>
          <w:szCs w:val="24"/>
          <w:lang w:eastAsia="en-AU"/>
        </w:rPr>
        <w:t xml:space="preserve"> http://www.humanrightscommission.vic.gov.au/index.php?option=com_k2&amp;view=item&amp;id=1448:equal-opportunity-act-2010-quick-guide&amp;Itemid=687</w:t>
      </w:r>
    </w:p>
    <w:p w:rsidR="002E17D1" w:rsidRDefault="002E17D1" w:rsidP="002E17D1">
      <w:pPr>
        <w:pStyle w:val="Reference"/>
      </w:pPr>
    </w:p>
    <w:p w:rsidR="002E17D1" w:rsidRDefault="002E17D1" w:rsidP="002E17D1">
      <w:pPr>
        <w:pStyle w:val="Reference"/>
      </w:pPr>
      <w:r>
        <w:t>Warren, E., and Devries, E. (2010). Young Australian Indigenous students: Engagement with mathematics in the early y</w:t>
      </w:r>
      <w:r w:rsidRPr="005F35EC">
        <w:t>ears</w:t>
      </w:r>
      <w:r>
        <w:t xml:space="preserve">. </w:t>
      </w:r>
      <w:r w:rsidRPr="00FB7F92">
        <w:rPr>
          <w:i/>
        </w:rPr>
        <w:t>Australian Primary Mathematics Classroom</w:t>
      </w:r>
      <w:r>
        <w:t xml:space="preserve">, 15(1), 4-9. </w:t>
      </w:r>
    </w:p>
    <w:p w:rsidR="002E17D1" w:rsidRDefault="002E17D1" w:rsidP="002E17D1">
      <w:pPr>
        <w:pStyle w:val="Reference"/>
      </w:pPr>
    </w:p>
    <w:p w:rsidR="002E17D1" w:rsidRPr="009537C9" w:rsidRDefault="002E17D1" w:rsidP="002E17D1">
      <w:pPr>
        <w:pStyle w:val="Reference"/>
      </w:pPr>
      <w:r>
        <w:t xml:space="preserve">Weigel, D.J., Martin, S.S., and Bennett, K.K. (2006). Contributions of the home literacy environment to pre-school aged children’s emerging literacy and language skills. </w:t>
      </w:r>
      <w:r w:rsidRPr="00FB7F92">
        <w:rPr>
          <w:i/>
        </w:rPr>
        <w:t>Early Child Development and Care</w:t>
      </w:r>
      <w:r>
        <w:t xml:space="preserve">, 37, 408-426. </w:t>
      </w:r>
    </w:p>
    <w:p w:rsidR="002E17D1" w:rsidRPr="009537C9" w:rsidRDefault="002E17D1" w:rsidP="002E17D1">
      <w:pPr>
        <w:pStyle w:val="Reference"/>
      </w:pPr>
    </w:p>
    <w:p w:rsidR="002E17D1" w:rsidRDefault="002E17D1" w:rsidP="002E17D1">
      <w:pPr>
        <w:pStyle w:val="Reference"/>
      </w:pPr>
      <w:r w:rsidRPr="009537C9">
        <w:t>Woodhe</w:t>
      </w:r>
      <w:r>
        <w:t xml:space="preserve">ad, M. (2006). </w:t>
      </w:r>
      <w:r w:rsidRPr="009537C9">
        <w:t>Changing perspectives on early childho</w:t>
      </w:r>
      <w:r>
        <w:t>od: theory, research and policy.</w:t>
      </w:r>
      <w:r w:rsidRPr="009537C9">
        <w:t xml:space="preserve"> </w:t>
      </w:r>
      <w:r w:rsidRPr="009F7112">
        <w:rPr>
          <w:i/>
        </w:rPr>
        <w:t>International Journal of Equity and Innovation in Early Childhood</w:t>
      </w:r>
      <w:r>
        <w:t xml:space="preserve">, 4,(2), </w:t>
      </w:r>
      <w:r w:rsidRPr="009537C9">
        <w:t>5-48</w:t>
      </w:r>
    </w:p>
    <w:p w:rsidR="002E17D1" w:rsidRDefault="002E17D1" w:rsidP="002E17D1">
      <w:pPr>
        <w:pStyle w:val="Reference"/>
      </w:pPr>
    </w:p>
    <w:p w:rsidR="002E17D1" w:rsidRDefault="002E17D1" w:rsidP="002E17D1">
      <w:pPr>
        <w:pStyle w:val="Reference"/>
      </w:pPr>
      <w:r>
        <w:t>Yazıcı, Z., İlter, B.G., and Glover, P. (2010)</w:t>
      </w:r>
      <w:r w:rsidR="00744937">
        <w:t>,</w:t>
      </w:r>
      <w:r>
        <w:t xml:space="preserve"> </w:t>
      </w:r>
      <w:r w:rsidRPr="00CC1BF5">
        <w:t>How bilingual is bilingual? Mother-tongue proficiency and lea</w:t>
      </w:r>
      <w:r>
        <w:t>rning through a second language.</w:t>
      </w:r>
      <w:r w:rsidRPr="00CC1BF5">
        <w:t xml:space="preserve"> I</w:t>
      </w:r>
      <w:r w:rsidRPr="009F7112">
        <w:rPr>
          <w:i/>
        </w:rPr>
        <w:t>nternational Journal of Early Years Education</w:t>
      </w:r>
      <w:r>
        <w:t>, 18(3), 259-</w:t>
      </w:r>
      <w:r w:rsidRPr="00CC1BF5">
        <w:t>268</w:t>
      </w:r>
      <w:r>
        <w:t>.</w:t>
      </w:r>
    </w:p>
    <w:p w:rsidR="002E17D1" w:rsidRDefault="002E17D1" w:rsidP="002E17D1">
      <w:pPr>
        <w:pStyle w:val="Reference"/>
      </w:pPr>
    </w:p>
    <w:p w:rsidR="002E17D1" w:rsidRDefault="006E5A61" w:rsidP="002E17D1">
      <w:pPr>
        <w:pStyle w:val="Reference"/>
      </w:pPr>
      <w:r>
        <w:br w:type="page"/>
      </w:r>
    </w:p>
    <w:p w:rsidR="002E17D1" w:rsidRDefault="002E17D1" w:rsidP="002E17D1">
      <w:pPr>
        <w:pStyle w:val="Reference"/>
      </w:pPr>
    </w:p>
    <w:p w:rsidR="002E17D1" w:rsidRDefault="002E17D1" w:rsidP="002E17D1"/>
    <w:p w:rsidR="002E17D1" w:rsidRDefault="002E17D1" w:rsidP="002E17D1">
      <w:pPr>
        <w:pStyle w:val="Heading1"/>
      </w:pPr>
    </w:p>
    <w:p w:rsidR="002E17D1" w:rsidRDefault="002E17D1" w:rsidP="002E17D1">
      <w:pPr>
        <w:ind w:right="1126"/>
      </w:pPr>
      <w:r>
        <w:rPr>
          <w:noProof/>
          <w:lang w:val="en-US"/>
        </w:rPr>
        <w:pict>
          <v:shape id="_x0000_s1062" type="#_x0000_t75" style="position:absolute;left:0;text-align:left;margin-left:355.2pt;margin-top:467.25pt;width:102pt;height:99.2pt;z-index:251658752">
            <v:imagedata r:id="rId10" o:title="Uni Melb square logo"/>
          </v:shape>
        </w:pict>
      </w:r>
      <w:r>
        <w:rPr>
          <w:noProof/>
          <w:lang w:val="en-US"/>
        </w:rPr>
        <w:pict>
          <v:shape id="_x0000_s1060" type="#_x0000_t202" style="position:absolute;left:0;text-align:left;margin-left:31.2pt;margin-top:584.25pt;width:387pt;height:45pt;z-index:251656704;mso-wrap-edited:f" wrapcoords="0 0 21600 0 21600 21600 0 21600 0 0" filled="f" stroked="f">
            <v:fill o:detectmouseclick="t"/>
            <v:textbox style="mso-next-textbox:#_x0000_s1088" inset=",1.5mm,,7.2pt">
              <w:txbxContent>
                <w:p w:rsidR="00C745B4" w:rsidRPr="00CC5015" w:rsidRDefault="00C745B4" w:rsidP="002E17D1">
                  <w:pPr>
                    <w:rPr>
                      <w:rFonts w:ascii="Arial" w:hAnsi="Arial" w:cs="Arial"/>
                      <w:sz w:val="16"/>
                      <w:szCs w:val="26"/>
                      <w:lang w:val="en-US"/>
                    </w:rPr>
                  </w:pPr>
                  <w:r>
                    <w:rPr>
                      <w:rFonts w:ascii="Arial" w:hAnsi="Arial" w:cs="Arial"/>
                      <w:sz w:val="16"/>
                      <w:szCs w:val="26"/>
                      <w:lang w:val="en-US"/>
                    </w:rPr>
                    <w:t>Saffigna, Franklin, Church and Tayler</w:t>
                  </w:r>
                  <w:r w:rsidRPr="000400D0">
                    <w:rPr>
                      <w:rFonts w:ascii="Arial" w:hAnsi="Arial" w:cs="Arial"/>
                      <w:sz w:val="16"/>
                      <w:szCs w:val="26"/>
                      <w:lang w:val="en-US"/>
                    </w:rPr>
                    <w:t xml:space="preserve"> /</w:t>
                  </w:r>
                  <w:r>
                    <w:rPr>
                      <w:rFonts w:ascii="Arial" w:hAnsi="Arial" w:cs="Arial"/>
                      <w:sz w:val="16"/>
                      <w:szCs w:val="26"/>
                      <w:lang w:val="en-US"/>
                    </w:rPr>
                    <w:t xml:space="preserve"> Department of Education and Early Childhood Development</w:t>
                  </w:r>
                  <w:r w:rsidRPr="000400D0">
                    <w:rPr>
                      <w:rFonts w:ascii="Arial" w:hAnsi="Arial" w:cs="Arial"/>
                      <w:sz w:val="16"/>
                      <w:szCs w:val="26"/>
                      <w:lang w:val="en-US"/>
                    </w:rPr>
                    <w:t xml:space="preserve"> 20</w:t>
                  </w:r>
                  <w:r>
                    <w:rPr>
                      <w:rFonts w:ascii="Arial" w:hAnsi="Arial" w:cs="Arial"/>
                      <w:sz w:val="16"/>
                      <w:szCs w:val="26"/>
                      <w:lang w:val="en-US"/>
                    </w:rPr>
                    <w:t>11</w:t>
                  </w:r>
                </w:p>
              </w:txbxContent>
            </v:textbox>
            <w10:wrap type="tight"/>
          </v:shape>
        </w:pict>
      </w:r>
      <w:r>
        <w:rPr>
          <w:noProof/>
          <w:lang w:val="en-US"/>
        </w:rPr>
        <w:pict>
          <v:shape id="_x0000_s1058" type="#_x0000_t75" style="position:absolute;left:0;text-align:left;margin-left:-49.8pt;margin-top:566.25pt;width:222pt;height:32pt;z-index:251654656">
            <v:imagedata r:id="rId11" o:title="copyright tagline"/>
          </v:shape>
        </w:pict>
      </w:r>
      <w:r>
        <w:rPr>
          <w:noProof/>
          <w:lang w:val="en-US"/>
        </w:rPr>
        <w:pict>
          <v:shape id="_x0000_s1059" type="#_x0000_t202" style="position:absolute;left:0;text-align:left;margin-left:-40.8pt;margin-top:307.75pt;width:252pt;height:153pt;z-index:251655680;mso-wrap-edited:f" wrapcoords="0 0 21600 0 21600 21600 0 21600 0 0" filled="f" stroked="f">
            <v:fill o:detectmouseclick="t"/>
            <v:textbox style="mso-next-textbox:#_x0000_s1059" inset=",7.2pt,,7.2pt">
              <w:txbxContent>
                <w:p w:rsidR="00C745B4" w:rsidRPr="007A3B43" w:rsidRDefault="00C745B4" w:rsidP="002E17D1">
                  <w:pPr>
                    <w:spacing w:after="140"/>
                    <w:rPr>
                      <w:rFonts w:ascii="Arial Bold" w:hAnsi="Arial Bold"/>
                    </w:rPr>
                  </w:pPr>
                  <w:r w:rsidRPr="007A3B43">
                    <w:rPr>
                      <w:rFonts w:ascii="Arial Bold" w:hAnsi="Arial Bold"/>
                    </w:rPr>
                    <w:t>Melbourne Graduate School of Education</w:t>
                  </w:r>
                </w:p>
                <w:p w:rsidR="00C745B4" w:rsidRPr="007A3B43" w:rsidRDefault="00C745B4" w:rsidP="002E17D1">
                  <w:pPr>
                    <w:spacing w:after="20"/>
                    <w:rPr>
                      <w:rFonts w:ascii="Arial" w:hAnsi="Arial"/>
                    </w:rPr>
                  </w:pPr>
                  <w:r w:rsidRPr="007A3B43">
                    <w:rPr>
                      <w:rFonts w:ascii="Arial" w:hAnsi="Arial"/>
                    </w:rPr>
                    <w:t>Level 2, Alice Hoy Building</w:t>
                  </w:r>
                </w:p>
                <w:p w:rsidR="00C745B4" w:rsidRPr="007A3B43" w:rsidRDefault="00C745B4" w:rsidP="002E17D1">
                  <w:pPr>
                    <w:spacing w:after="20"/>
                    <w:rPr>
                      <w:rFonts w:ascii="Arial" w:hAnsi="Arial"/>
                    </w:rPr>
                  </w:pPr>
                  <w:r w:rsidRPr="007A3B43">
                    <w:rPr>
                      <w:rFonts w:ascii="Arial" w:hAnsi="Arial"/>
                    </w:rPr>
                    <w:t>The University of Melbourne</w:t>
                  </w:r>
                </w:p>
                <w:p w:rsidR="00C745B4" w:rsidRPr="007A3B43" w:rsidRDefault="00C745B4" w:rsidP="002E17D1">
                  <w:pPr>
                    <w:spacing w:after="140"/>
                    <w:rPr>
                      <w:rFonts w:ascii="Arial" w:hAnsi="Arial"/>
                    </w:rPr>
                  </w:pPr>
                  <w:r w:rsidRPr="007A3B43">
                    <w:rPr>
                      <w:rFonts w:ascii="Arial" w:hAnsi="Arial"/>
                    </w:rPr>
                    <w:t>Victoria 3010 Australia</w:t>
                  </w:r>
                </w:p>
                <w:p w:rsidR="00C745B4" w:rsidRPr="007A3B43" w:rsidRDefault="00C745B4" w:rsidP="002E17D1">
                  <w:pPr>
                    <w:spacing w:after="20"/>
                    <w:rPr>
                      <w:rFonts w:ascii="Arial" w:hAnsi="Arial"/>
                      <w:color w:val="003A6E"/>
                    </w:rPr>
                  </w:pPr>
                </w:p>
              </w:txbxContent>
            </v:textbox>
            <w10:wrap type="tight"/>
          </v:shape>
        </w:pict>
      </w:r>
      <w:r>
        <w:rPr>
          <w:noProof/>
          <w:lang w:val="en-US"/>
        </w:rPr>
        <w:pict>
          <v:line id="_x0000_s1061" style="position:absolute;left:0;text-align:left;z-index:251657728;mso-wrap-edited:f" from="-58.8pt,289.75pt" to="463.2pt,289.75pt" wrapcoords="-62 -2147483648 -62 -2147483648 21631 -2147483648 21631 -2147483648 -62 -2147483648" strokecolor="#003a6e" strokeweight="3pt">
            <v:fill o:detectmouseclick="t"/>
            <v:shadow opacity="22938f" offset="0"/>
            <w10:wrap type="tight"/>
          </v:line>
        </w:pict>
      </w:r>
      <w:r>
        <w:rPr>
          <w:noProof/>
          <w:lang w:val="en-US"/>
        </w:rPr>
        <w:pict>
          <v:shape id="_x0000_s1084" type="#_x0000_t202" style="position:absolute;left:0;text-align:left;margin-left:256.2pt;margin-top:316.75pt;width:252pt;height:129.55pt;z-index:251659776;mso-wrap-edited:f" wrapcoords="0 0 21600 0 21600 21600 0 21600 0 0" filled="f" stroked="f">
            <v:fill o:detectmouseclick="t"/>
            <v:textbox style="mso-next-textbox:#_x0000_s1084" inset=",7.2pt,,7.2pt">
              <w:txbxContent>
                <w:p w:rsidR="00C745B4" w:rsidRPr="007A3B43" w:rsidRDefault="00C745B4" w:rsidP="002E17D1">
                  <w:pPr>
                    <w:spacing w:after="20"/>
                    <w:rPr>
                      <w:rFonts w:ascii="Arial" w:hAnsi="Arial"/>
                    </w:rPr>
                  </w:pPr>
                  <w:r w:rsidRPr="007A3B43">
                    <w:rPr>
                      <w:rFonts w:ascii="Arial" w:hAnsi="Arial"/>
                      <w:color w:val="003A6E"/>
                    </w:rPr>
                    <w:t>Telephone:</w:t>
                  </w:r>
                  <w:r w:rsidRPr="007A3B43">
                    <w:rPr>
                      <w:rFonts w:ascii="Arial" w:hAnsi="Arial"/>
                    </w:rPr>
                    <w:t xml:space="preserve"> +61 3 8344 8285</w:t>
                  </w:r>
                </w:p>
                <w:p w:rsidR="00C745B4" w:rsidRPr="007A3B43" w:rsidRDefault="00C745B4" w:rsidP="002E17D1">
                  <w:pPr>
                    <w:spacing w:after="20"/>
                    <w:rPr>
                      <w:rFonts w:ascii="Arial" w:hAnsi="Arial"/>
                    </w:rPr>
                  </w:pPr>
                  <w:r w:rsidRPr="007A3B43">
                    <w:rPr>
                      <w:rFonts w:ascii="Arial" w:hAnsi="Arial"/>
                      <w:color w:val="003A6E"/>
                    </w:rPr>
                    <w:t>Facsimile:</w:t>
                  </w:r>
                  <w:r w:rsidRPr="007A3B43">
                    <w:rPr>
                      <w:rFonts w:ascii="Arial" w:hAnsi="Arial"/>
                    </w:rPr>
                    <w:t xml:space="preserve"> +61 3 8344 8529</w:t>
                  </w:r>
                </w:p>
                <w:p w:rsidR="00C745B4" w:rsidRPr="007A3B43" w:rsidRDefault="00C745B4" w:rsidP="002E17D1">
                  <w:pPr>
                    <w:spacing w:after="20"/>
                    <w:rPr>
                      <w:rFonts w:ascii="Arial" w:hAnsi="Arial"/>
                      <w:color w:val="003A6E"/>
                    </w:rPr>
                  </w:pPr>
                  <w:r w:rsidRPr="007A3B43">
                    <w:rPr>
                      <w:rFonts w:ascii="Arial" w:hAnsi="Arial"/>
                      <w:color w:val="003A6E"/>
                    </w:rPr>
                    <w:t>www.education.unimelb.edu.au</w:t>
                  </w:r>
                </w:p>
              </w:txbxContent>
            </v:textbox>
            <w10:wrap type="tight"/>
          </v:shape>
        </w:pict>
      </w:r>
      <w:r>
        <w:rPr>
          <w:noProof/>
          <w:lang w:val="en-US"/>
        </w:rPr>
        <w:pict>
          <v:shape id="_x0000_s1088" type="#_x0000_t202" style="position:absolute;left:0;text-align:left;margin-left:319.05pt;margin-top:729.2pt;width:1in;height:1in;z-index:251661824;mso-wrap-edited:f" wrapcoords="0 0 21600 0 21600 21600 0 21600 0 0" filled="f" stroked="f">
            <v:fill o:detectmouseclick="t"/>
            <v:textbox inset=",7.2pt,,7.2pt">
              <w:txbxContent/>
            </v:textbox>
            <w10:wrap type="tight"/>
          </v:shape>
        </w:pict>
      </w:r>
    </w:p>
    <w:sectPr w:rsidR="002E17D1" w:rsidSect="002E17D1">
      <w:footerReference w:type="even" r:id="rId12"/>
      <w:footerReference w:type="default" r:id="rId13"/>
      <w:pgSz w:w="11901" w:h="16839"/>
      <w:pgMar w:top="1440" w:right="1797" w:bottom="1440" w:left="1797"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5CB" w:rsidRDefault="00B355CB">
      <w:r>
        <w:separator/>
      </w:r>
    </w:p>
  </w:endnote>
  <w:endnote w:type="continuationSeparator" w:id="0">
    <w:p w:rsidR="00B355CB" w:rsidRDefault="00B35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roman"/>
    <w:notTrueType/>
    <w:pitch w:val="default"/>
    <w:sig w:usb0="00000003"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4D"/>
    <w:family w:val="swiss"/>
    <w:notTrueType/>
    <w:pitch w:val="default"/>
    <w:sig w:usb0="00000003" w:usb1="00000000" w:usb2="00000000" w:usb3="00000000" w:csb0="00000001" w:csb1="00000000"/>
  </w:font>
  <w:font w:name="Univers 55">
    <w:altName w:val="Courier New"/>
    <w:charset w:val="00"/>
    <w:family w:val="auto"/>
    <w:pitch w:val="variable"/>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5B4" w:rsidRDefault="00C745B4" w:rsidP="002E17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45B4" w:rsidRDefault="00C745B4" w:rsidP="002E17D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5B4" w:rsidRDefault="00C745B4" w:rsidP="002E17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01485">
      <w:rPr>
        <w:rStyle w:val="PageNumber"/>
        <w:noProof/>
      </w:rPr>
      <w:t>13</w:t>
    </w:r>
    <w:r>
      <w:rPr>
        <w:rStyle w:val="PageNumber"/>
      </w:rPr>
      <w:fldChar w:fldCharType="end"/>
    </w:r>
  </w:p>
  <w:p w:rsidR="00C745B4" w:rsidRDefault="00C745B4" w:rsidP="002E17D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5CB" w:rsidRDefault="00B355CB">
      <w:r>
        <w:separator/>
      </w:r>
    </w:p>
  </w:footnote>
  <w:footnote w:type="continuationSeparator" w:id="0">
    <w:p w:rsidR="00B355CB" w:rsidRDefault="00B355CB">
      <w:r>
        <w:continuationSeparator/>
      </w:r>
    </w:p>
  </w:footnote>
  <w:footnote w:id="1">
    <w:p w:rsidR="00C745B4" w:rsidRDefault="00C745B4">
      <w:pPr>
        <w:pStyle w:val="FootnoteText"/>
      </w:pPr>
      <w:r>
        <w:rPr>
          <w:rStyle w:val="FootnoteReference"/>
        </w:rPr>
        <w:footnoteRef/>
      </w:r>
      <w:r>
        <w:t xml:space="preserve"> In this paper the word ‘Aboriginal’ refers to Aboriginal and Torres Strait Islanders.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6D2F79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3D2530"/>
    <w:multiLevelType w:val="hybridMultilevel"/>
    <w:tmpl w:val="D292D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265DB0"/>
    <w:multiLevelType w:val="hybridMultilevel"/>
    <w:tmpl w:val="D20A7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8B6281"/>
    <w:multiLevelType w:val="hybridMultilevel"/>
    <w:tmpl w:val="92264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BD4245"/>
    <w:multiLevelType w:val="hybridMultilevel"/>
    <w:tmpl w:val="C6F8D52A"/>
    <w:lvl w:ilvl="0" w:tplc="51EC35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DA1ADF"/>
    <w:multiLevelType w:val="hybridMultilevel"/>
    <w:tmpl w:val="35206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1EE09BB"/>
    <w:multiLevelType w:val="hybridMultilevel"/>
    <w:tmpl w:val="F92A8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734424"/>
    <w:multiLevelType w:val="hybridMultilevel"/>
    <w:tmpl w:val="9F24C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AB7014"/>
    <w:multiLevelType w:val="hybridMultilevel"/>
    <w:tmpl w:val="C66A6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E33C7F"/>
    <w:multiLevelType w:val="hybridMultilevel"/>
    <w:tmpl w:val="245C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3A61DE"/>
    <w:multiLevelType w:val="hybridMultilevel"/>
    <w:tmpl w:val="C908D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104191E"/>
    <w:multiLevelType w:val="hybridMultilevel"/>
    <w:tmpl w:val="4710A678"/>
    <w:lvl w:ilvl="0" w:tplc="DBB666F8">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nsid w:val="32923B82"/>
    <w:multiLevelType w:val="hybridMultilevel"/>
    <w:tmpl w:val="6F4E6352"/>
    <w:lvl w:ilvl="0" w:tplc="D438E7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34778C1"/>
    <w:multiLevelType w:val="hybridMultilevel"/>
    <w:tmpl w:val="AA1EED3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nsid w:val="3651031A"/>
    <w:multiLevelType w:val="hybridMultilevel"/>
    <w:tmpl w:val="71E0F84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5">
    <w:nsid w:val="38362492"/>
    <w:multiLevelType w:val="hybridMultilevel"/>
    <w:tmpl w:val="3C10876A"/>
    <w:lvl w:ilvl="0" w:tplc="EFC03608">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nsid w:val="38EF7320"/>
    <w:multiLevelType w:val="hybridMultilevel"/>
    <w:tmpl w:val="C7E63E36"/>
    <w:lvl w:ilvl="0" w:tplc="04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9CD2EF8"/>
    <w:multiLevelType w:val="hybridMultilevel"/>
    <w:tmpl w:val="24C60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BE32A63"/>
    <w:multiLevelType w:val="hybridMultilevel"/>
    <w:tmpl w:val="B7024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C612347"/>
    <w:multiLevelType w:val="hybridMultilevel"/>
    <w:tmpl w:val="3DA8CD7E"/>
    <w:lvl w:ilvl="0" w:tplc="0C090001">
      <w:start w:val="1"/>
      <w:numFmt w:val="decimal"/>
      <w:pStyle w:val="Heading9"/>
      <w:lvlText w:val="%1."/>
      <w:lvlJc w:val="left"/>
      <w:pPr>
        <w:tabs>
          <w:tab w:val="num" w:pos="1615"/>
        </w:tabs>
        <w:ind w:left="1615" w:hanging="36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0">
    <w:nsid w:val="44342F6A"/>
    <w:multiLevelType w:val="hybridMultilevel"/>
    <w:tmpl w:val="641C1726"/>
    <w:lvl w:ilvl="0" w:tplc="9352206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D958BC"/>
    <w:multiLevelType w:val="hybridMultilevel"/>
    <w:tmpl w:val="D6726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51493C"/>
    <w:multiLevelType w:val="hybridMultilevel"/>
    <w:tmpl w:val="7B5AA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3F743E"/>
    <w:multiLevelType w:val="hybridMultilevel"/>
    <w:tmpl w:val="037279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ambria"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ambria"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ambria"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4AFD07C9"/>
    <w:multiLevelType w:val="hybridMultilevel"/>
    <w:tmpl w:val="A59277EC"/>
    <w:lvl w:ilvl="0" w:tplc="0409000F">
      <w:start w:val="1"/>
      <w:numFmt w:val="decimal"/>
      <w:lvlText w:val="%1."/>
      <w:lvlJc w:val="left"/>
      <w:pPr>
        <w:ind w:left="800" w:hanging="360"/>
      </w:pPr>
      <w:rPr>
        <w:rFonts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25">
    <w:nsid w:val="4B467D7E"/>
    <w:multiLevelType w:val="hybridMultilevel"/>
    <w:tmpl w:val="33884102"/>
    <w:lvl w:ilvl="0" w:tplc="DBB666F8">
      <w:start w:val="1"/>
      <w:numFmt w:val="bullet"/>
      <w:lvlText w:val=""/>
      <w:lvlJc w:val="left"/>
      <w:pPr>
        <w:ind w:left="1146"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512409D6"/>
    <w:multiLevelType w:val="hybridMultilevel"/>
    <w:tmpl w:val="1F94E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D03121"/>
    <w:multiLevelType w:val="hybridMultilevel"/>
    <w:tmpl w:val="33AC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F721A9"/>
    <w:multiLevelType w:val="hybridMultilevel"/>
    <w:tmpl w:val="1B2CE1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6B069AE"/>
    <w:multiLevelType w:val="hybridMultilevel"/>
    <w:tmpl w:val="E9FCE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7632DAA"/>
    <w:multiLevelType w:val="hybridMultilevel"/>
    <w:tmpl w:val="93FA8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5A4E80"/>
    <w:multiLevelType w:val="hybridMultilevel"/>
    <w:tmpl w:val="7D1E7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0DA487A"/>
    <w:multiLevelType w:val="hybridMultilevel"/>
    <w:tmpl w:val="DF428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610627"/>
    <w:multiLevelType w:val="hybridMultilevel"/>
    <w:tmpl w:val="AC18C848"/>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34">
    <w:nsid w:val="6922194E"/>
    <w:multiLevelType w:val="hybridMultilevel"/>
    <w:tmpl w:val="FE722636"/>
    <w:lvl w:ilvl="0" w:tplc="0C090001">
      <w:start w:val="1"/>
      <w:numFmt w:val="bullet"/>
      <w:lvlText w:val=""/>
      <w:lvlJc w:val="left"/>
      <w:pPr>
        <w:tabs>
          <w:tab w:val="num" w:pos="862"/>
        </w:tabs>
        <w:ind w:left="862" w:hanging="360"/>
      </w:pPr>
      <w:rPr>
        <w:rFonts w:ascii="Symbol" w:hAnsi="Symbol" w:hint="default"/>
      </w:rPr>
    </w:lvl>
    <w:lvl w:ilvl="1" w:tplc="0C090003" w:tentative="1">
      <w:start w:val="1"/>
      <w:numFmt w:val="bullet"/>
      <w:lvlText w:val="o"/>
      <w:lvlJc w:val="left"/>
      <w:pPr>
        <w:tabs>
          <w:tab w:val="num" w:pos="1582"/>
        </w:tabs>
        <w:ind w:left="1582" w:hanging="360"/>
      </w:pPr>
      <w:rPr>
        <w:rFonts w:ascii="Courier New" w:hAnsi="Courier New" w:cs="Courier New" w:hint="default"/>
      </w:rPr>
    </w:lvl>
    <w:lvl w:ilvl="2" w:tplc="0C090005" w:tentative="1">
      <w:start w:val="1"/>
      <w:numFmt w:val="bullet"/>
      <w:lvlText w:val=""/>
      <w:lvlJc w:val="left"/>
      <w:pPr>
        <w:tabs>
          <w:tab w:val="num" w:pos="2302"/>
        </w:tabs>
        <w:ind w:left="2302" w:hanging="360"/>
      </w:pPr>
      <w:rPr>
        <w:rFonts w:ascii="Wingdings" w:hAnsi="Wingdings" w:hint="default"/>
      </w:rPr>
    </w:lvl>
    <w:lvl w:ilvl="3" w:tplc="0C090001" w:tentative="1">
      <w:start w:val="1"/>
      <w:numFmt w:val="bullet"/>
      <w:lvlText w:val=""/>
      <w:lvlJc w:val="left"/>
      <w:pPr>
        <w:tabs>
          <w:tab w:val="num" w:pos="3022"/>
        </w:tabs>
        <w:ind w:left="3022" w:hanging="360"/>
      </w:pPr>
      <w:rPr>
        <w:rFonts w:ascii="Symbol" w:hAnsi="Symbol" w:hint="default"/>
      </w:rPr>
    </w:lvl>
    <w:lvl w:ilvl="4" w:tplc="0C090003" w:tentative="1">
      <w:start w:val="1"/>
      <w:numFmt w:val="bullet"/>
      <w:lvlText w:val="o"/>
      <w:lvlJc w:val="left"/>
      <w:pPr>
        <w:tabs>
          <w:tab w:val="num" w:pos="3742"/>
        </w:tabs>
        <w:ind w:left="3742" w:hanging="360"/>
      </w:pPr>
      <w:rPr>
        <w:rFonts w:ascii="Courier New" w:hAnsi="Courier New" w:cs="Courier New" w:hint="default"/>
      </w:rPr>
    </w:lvl>
    <w:lvl w:ilvl="5" w:tplc="0C090005" w:tentative="1">
      <w:start w:val="1"/>
      <w:numFmt w:val="bullet"/>
      <w:lvlText w:val=""/>
      <w:lvlJc w:val="left"/>
      <w:pPr>
        <w:tabs>
          <w:tab w:val="num" w:pos="4462"/>
        </w:tabs>
        <w:ind w:left="4462" w:hanging="360"/>
      </w:pPr>
      <w:rPr>
        <w:rFonts w:ascii="Wingdings" w:hAnsi="Wingdings" w:hint="default"/>
      </w:rPr>
    </w:lvl>
    <w:lvl w:ilvl="6" w:tplc="0C090001" w:tentative="1">
      <w:start w:val="1"/>
      <w:numFmt w:val="bullet"/>
      <w:lvlText w:val=""/>
      <w:lvlJc w:val="left"/>
      <w:pPr>
        <w:tabs>
          <w:tab w:val="num" w:pos="5182"/>
        </w:tabs>
        <w:ind w:left="5182" w:hanging="360"/>
      </w:pPr>
      <w:rPr>
        <w:rFonts w:ascii="Symbol" w:hAnsi="Symbol" w:hint="default"/>
      </w:rPr>
    </w:lvl>
    <w:lvl w:ilvl="7" w:tplc="0C090003" w:tentative="1">
      <w:start w:val="1"/>
      <w:numFmt w:val="bullet"/>
      <w:lvlText w:val="o"/>
      <w:lvlJc w:val="left"/>
      <w:pPr>
        <w:tabs>
          <w:tab w:val="num" w:pos="5902"/>
        </w:tabs>
        <w:ind w:left="5902" w:hanging="360"/>
      </w:pPr>
      <w:rPr>
        <w:rFonts w:ascii="Courier New" w:hAnsi="Courier New" w:cs="Courier New" w:hint="default"/>
      </w:rPr>
    </w:lvl>
    <w:lvl w:ilvl="8" w:tplc="0C090005" w:tentative="1">
      <w:start w:val="1"/>
      <w:numFmt w:val="bullet"/>
      <w:lvlText w:val=""/>
      <w:lvlJc w:val="left"/>
      <w:pPr>
        <w:tabs>
          <w:tab w:val="num" w:pos="6622"/>
        </w:tabs>
        <w:ind w:left="6622" w:hanging="360"/>
      </w:pPr>
      <w:rPr>
        <w:rFonts w:ascii="Wingdings" w:hAnsi="Wingdings" w:hint="default"/>
      </w:rPr>
    </w:lvl>
  </w:abstractNum>
  <w:abstractNum w:abstractNumId="35">
    <w:nsid w:val="6E5D25DE"/>
    <w:multiLevelType w:val="hybridMultilevel"/>
    <w:tmpl w:val="C6AC6E0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ambria"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ambria"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ambria" w:hint="default"/>
      </w:rPr>
    </w:lvl>
    <w:lvl w:ilvl="8" w:tplc="0C090005" w:tentative="1">
      <w:start w:val="1"/>
      <w:numFmt w:val="bullet"/>
      <w:lvlText w:val=""/>
      <w:lvlJc w:val="left"/>
      <w:pPr>
        <w:ind w:left="6540" w:hanging="360"/>
      </w:pPr>
      <w:rPr>
        <w:rFonts w:ascii="Wingdings" w:hAnsi="Wingdings" w:hint="default"/>
      </w:rPr>
    </w:lvl>
  </w:abstractNum>
  <w:abstractNum w:abstractNumId="36">
    <w:nsid w:val="6EE47D37"/>
    <w:multiLevelType w:val="hybridMultilevel"/>
    <w:tmpl w:val="E996B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4C02C68"/>
    <w:multiLevelType w:val="hybridMultilevel"/>
    <w:tmpl w:val="C0421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6364690"/>
    <w:multiLevelType w:val="hybridMultilevel"/>
    <w:tmpl w:val="94A64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A776C2"/>
    <w:multiLevelType w:val="hybridMultilevel"/>
    <w:tmpl w:val="ED4C30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ambria"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ambria"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ambria" w:hint="default"/>
      </w:rPr>
    </w:lvl>
    <w:lvl w:ilvl="8" w:tplc="0C090005" w:tentative="1">
      <w:start w:val="1"/>
      <w:numFmt w:val="bullet"/>
      <w:lvlText w:val=""/>
      <w:lvlJc w:val="left"/>
      <w:pPr>
        <w:ind w:left="7200" w:hanging="360"/>
      </w:pPr>
      <w:rPr>
        <w:rFonts w:ascii="Wingdings" w:hAnsi="Wingdings" w:hint="default"/>
      </w:rPr>
    </w:lvl>
  </w:abstractNum>
  <w:abstractNum w:abstractNumId="40">
    <w:nsid w:val="7FF353F9"/>
    <w:multiLevelType w:val="hybridMultilevel"/>
    <w:tmpl w:val="D9263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3"/>
  </w:num>
  <w:num w:numId="4">
    <w:abstractNumId w:val="2"/>
  </w:num>
  <w:num w:numId="5">
    <w:abstractNumId w:val="0"/>
  </w:num>
  <w:num w:numId="6">
    <w:abstractNumId w:val="19"/>
  </w:num>
  <w:num w:numId="7">
    <w:abstractNumId w:val="16"/>
  </w:num>
  <w:num w:numId="8">
    <w:abstractNumId w:val="33"/>
  </w:num>
  <w:num w:numId="9">
    <w:abstractNumId w:val="24"/>
  </w:num>
  <w:num w:numId="10">
    <w:abstractNumId w:val="28"/>
  </w:num>
  <w:num w:numId="11">
    <w:abstractNumId w:val="12"/>
  </w:num>
  <w:num w:numId="12">
    <w:abstractNumId w:val="4"/>
  </w:num>
  <w:num w:numId="13">
    <w:abstractNumId w:val="20"/>
  </w:num>
  <w:num w:numId="14">
    <w:abstractNumId w:val="7"/>
  </w:num>
  <w:num w:numId="15">
    <w:abstractNumId w:val="27"/>
  </w:num>
  <w:num w:numId="16">
    <w:abstractNumId w:val="26"/>
  </w:num>
  <w:num w:numId="17">
    <w:abstractNumId w:val="21"/>
  </w:num>
  <w:num w:numId="18">
    <w:abstractNumId w:val="9"/>
  </w:num>
  <w:num w:numId="19">
    <w:abstractNumId w:val="30"/>
  </w:num>
  <w:num w:numId="20">
    <w:abstractNumId w:val="38"/>
  </w:num>
  <w:num w:numId="21">
    <w:abstractNumId w:val="6"/>
  </w:num>
  <w:num w:numId="22">
    <w:abstractNumId w:val="8"/>
  </w:num>
  <w:num w:numId="23">
    <w:abstractNumId w:val="22"/>
  </w:num>
  <w:num w:numId="24">
    <w:abstractNumId w:val="32"/>
  </w:num>
  <w:num w:numId="25">
    <w:abstractNumId w:val="5"/>
  </w:num>
  <w:num w:numId="26">
    <w:abstractNumId w:val="11"/>
  </w:num>
  <w:num w:numId="27">
    <w:abstractNumId w:val="25"/>
  </w:num>
  <w:num w:numId="28">
    <w:abstractNumId w:val="34"/>
  </w:num>
  <w:num w:numId="29">
    <w:abstractNumId w:val="36"/>
  </w:num>
  <w:num w:numId="30">
    <w:abstractNumId w:val="39"/>
  </w:num>
  <w:num w:numId="31">
    <w:abstractNumId w:val="3"/>
  </w:num>
  <w:num w:numId="32">
    <w:abstractNumId w:val="10"/>
  </w:num>
  <w:num w:numId="33">
    <w:abstractNumId w:val="17"/>
  </w:num>
  <w:num w:numId="34">
    <w:abstractNumId w:val="23"/>
  </w:num>
  <w:num w:numId="35">
    <w:abstractNumId w:val="35"/>
  </w:num>
  <w:num w:numId="36">
    <w:abstractNumId w:val="40"/>
  </w:num>
  <w:num w:numId="37">
    <w:abstractNumId w:val="18"/>
  </w:num>
  <w:num w:numId="38">
    <w:abstractNumId w:val="31"/>
  </w:num>
  <w:num w:numId="39">
    <w:abstractNumId w:val="37"/>
  </w:num>
  <w:num w:numId="40">
    <w:abstractNumId w:val="29"/>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o:colormru v:ext="edit" colors="#003a6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D1FBE"/>
    <w:rsid w:val="00003E46"/>
    <w:rsid w:val="000323E3"/>
    <w:rsid w:val="000F51DD"/>
    <w:rsid w:val="0016781E"/>
    <w:rsid w:val="001C1FB6"/>
    <w:rsid w:val="001F5898"/>
    <w:rsid w:val="002B3D8A"/>
    <w:rsid w:val="002E17D1"/>
    <w:rsid w:val="003A6118"/>
    <w:rsid w:val="003F63B5"/>
    <w:rsid w:val="004A7BCF"/>
    <w:rsid w:val="004C7D75"/>
    <w:rsid w:val="005023C1"/>
    <w:rsid w:val="005728BA"/>
    <w:rsid w:val="00583A03"/>
    <w:rsid w:val="005852E8"/>
    <w:rsid w:val="00586B61"/>
    <w:rsid w:val="00614DD7"/>
    <w:rsid w:val="00622C59"/>
    <w:rsid w:val="006735BB"/>
    <w:rsid w:val="0069346A"/>
    <w:rsid w:val="006A7C1A"/>
    <w:rsid w:val="006D516C"/>
    <w:rsid w:val="006E5A61"/>
    <w:rsid w:val="00744937"/>
    <w:rsid w:val="00755771"/>
    <w:rsid w:val="0079135C"/>
    <w:rsid w:val="007B67D1"/>
    <w:rsid w:val="00820085"/>
    <w:rsid w:val="00864E33"/>
    <w:rsid w:val="008725F8"/>
    <w:rsid w:val="009447EB"/>
    <w:rsid w:val="00970244"/>
    <w:rsid w:val="00985D76"/>
    <w:rsid w:val="009C7534"/>
    <w:rsid w:val="00A02185"/>
    <w:rsid w:val="00A67652"/>
    <w:rsid w:val="00A74C7E"/>
    <w:rsid w:val="00B01485"/>
    <w:rsid w:val="00B3071E"/>
    <w:rsid w:val="00B355CB"/>
    <w:rsid w:val="00B74E5C"/>
    <w:rsid w:val="00B95430"/>
    <w:rsid w:val="00BD301B"/>
    <w:rsid w:val="00BF0687"/>
    <w:rsid w:val="00BF36C4"/>
    <w:rsid w:val="00C144E6"/>
    <w:rsid w:val="00C745B4"/>
    <w:rsid w:val="00C7709D"/>
    <w:rsid w:val="00CE5BF3"/>
    <w:rsid w:val="00D33760"/>
    <w:rsid w:val="00D95CEF"/>
    <w:rsid w:val="00EF3785"/>
    <w:rsid w:val="00F00DF5"/>
    <w:rsid w:val="00F53DC7"/>
    <w:rsid w:val="00FA1C61"/>
    <w:rsid w:val="00FB2A15"/>
    <w:rsid w:val="00FC353A"/>
    <w:rsid w:val="00FE0A79"/>
  </w:rsids>
  <m:mathPr>
    <m:mathFont m:val="Cambria Math"/>
    <m:brkBin m:val="before"/>
    <m:brkBinSub m:val="--"/>
    <m:smallFrac m:val="0"/>
    <m:dispDef m:val="0"/>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ru v:ext="edit" colors="#003a6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747A7"/>
    <w:pPr>
      <w:spacing w:after="200" w:line="276" w:lineRule="auto"/>
      <w:jc w:val="both"/>
    </w:pPr>
    <w:rPr>
      <w:rFonts w:eastAsia="Calibri"/>
      <w:sz w:val="24"/>
      <w:szCs w:val="22"/>
      <w:lang w:eastAsia="en-US"/>
    </w:rPr>
  </w:style>
  <w:style w:type="paragraph" w:styleId="Heading1">
    <w:name w:val="heading 1"/>
    <w:basedOn w:val="Heading2"/>
    <w:next w:val="Normal"/>
    <w:link w:val="Heading1Char"/>
    <w:autoRedefine/>
    <w:uiPriority w:val="9"/>
    <w:qFormat/>
    <w:rsid w:val="001179FE"/>
    <w:pPr>
      <w:tabs>
        <w:tab w:val="left" w:pos="9720"/>
      </w:tabs>
      <w:ind w:right="90"/>
      <w:outlineLvl w:val="0"/>
    </w:pPr>
    <w:rPr>
      <w:color w:val="008000"/>
      <w:sz w:val="32"/>
    </w:rPr>
  </w:style>
  <w:style w:type="paragraph" w:styleId="Heading2">
    <w:name w:val="heading 2"/>
    <w:basedOn w:val="Normal"/>
    <w:next w:val="Normal"/>
    <w:link w:val="Heading2Char"/>
    <w:autoRedefine/>
    <w:uiPriority w:val="9"/>
    <w:qFormat/>
    <w:rsid w:val="002D7FBE"/>
    <w:pPr>
      <w:keepNext/>
      <w:spacing w:after="240"/>
      <w:outlineLvl w:val="1"/>
    </w:pPr>
    <w:rPr>
      <w:b/>
      <w:szCs w:val="24"/>
    </w:rPr>
  </w:style>
  <w:style w:type="paragraph" w:styleId="Heading3">
    <w:name w:val="heading 3"/>
    <w:basedOn w:val="Normal"/>
    <w:next w:val="Normal"/>
    <w:link w:val="Heading3Char"/>
    <w:autoRedefine/>
    <w:uiPriority w:val="9"/>
    <w:qFormat/>
    <w:rsid w:val="001179FE"/>
    <w:pPr>
      <w:keepNext/>
      <w:spacing w:before="240" w:after="240"/>
      <w:outlineLvl w:val="2"/>
    </w:pPr>
    <w:rPr>
      <w:rFonts w:ascii="Times New Roman" w:hAnsi="Times New Roman"/>
      <w:bCs/>
      <w:i/>
      <w:szCs w:val="26"/>
    </w:rPr>
  </w:style>
  <w:style w:type="paragraph" w:styleId="Heading4">
    <w:name w:val="heading 4"/>
    <w:basedOn w:val="Normal"/>
    <w:next w:val="Normal"/>
    <w:link w:val="Heading4Char"/>
    <w:autoRedefine/>
    <w:uiPriority w:val="9"/>
    <w:qFormat/>
    <w:rsid w:val="005A459D"/>
    <w:pPr>
      <w:keepNext/>
      <w:spacing w:before="240"/>
      <w:outlineLvl w:val="3"/>
    </w:pPr>
    <w:rPr>
      <w:b/>
      <w:bCs/>
      <w:sz w:val="22"/>
      <w:lang w:val="en-US"/>
    </w:rPr>
  </w:style>
  <w:style w:type="paragraph" w:styleId="Heading5">
    <w:name w:val="heading 5"/>
    <w:basedOn w:val="Normal"/>
    <w:next w:val="Normal"/>
    <w:link w:val="Heading5Char"/>
    <w:qFormat/>
    <w:rsid w:val="00BB3C1E"/>
    <w:pPr>
      <w:spacing w:before="240" w:after="60"/>
      <w:outlineLvl w:val="4"/>
    </w:pPr>
    <w:rPr>
      <w:b/>
      <w:bCs/>
      <w:i/>
      <w:iCs/>
      <w:sz w:val="26"/>
      <w:szCs w:val="26"/>
    </w:rPr>
  </w:style>
  <w:style w:type="paragraph" w:styleId="Heading8">
    <w:name w:val="heading 8"/>
    <w:basedOn w:val="Normal"/>
    <w:next w:val="Normal"/>
    <w:link w:val="Heading8Char"/>
    <w:qFormat/>
    <w:rsid w:val="00BB3C1E"/>
    <w:pPr>
      <w:spacing w:before="240" w:after="240"/>
      <w:outlineLvl w:val="7"/>
    </w:pPr>
    <w:rPr>
      <w:i/>
      <w:iCs/>
      <w:szCs w:val="24"/>
    </w:rPr>
  </w:style>
  <w:style w:type="paragraph" w:styleId="Heading9">
    <w:name w:val="heading 9"/>
    <w:basedOn w:val="Normal"/>
    <w:next w:val="Normal"/>
    <w:link w:val="Heading9Char"/>
    <w:qFormat/>
    <w:rsid w:val="00BB3C1E"/>
    <w:pPr>
      <w:numPr>
        <w:numId w:val="6"/>
      </w:numPr>
      <w:tabs>
        <w:tab w:val="left" w:pos="720"/>
      </w:tabs>
      <w:spacing w:before="240" w:after="60"/>
      <w:ind w:left="720" w:hanging="720"/>
      <w:outlineLvl w:val="8"/>
    </w:pPr>
    <w:rPr>
      <w:rFonts w:cs="Arial"/>
      <w:i/>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2E1276"/>
    <w:pPr>
      <w:tabs>
        <w:tab w:val="center" w:pos="4320"/>
        <w:tab w:val="right" w:pos="8640"/>
      </w:tabs>
    </w:pPr>
  </w:style>
  <w:style w:type="character" w:customStyle="1" w:styleId="HeaderChar">
    <w:name w:val="Header Char"/>
    <w:link w:val="Header"/>
    <w:uiPriority w:val="99"/>
    <w:rsid w:val="002E1276"/>
    <w:rPr>
      <w:sz w:val="24"/>
      <w:szCs w:val="24"/>
    </w:rPr>
  </w:style>
  <w:style w:type="paragraph" w:styleId="Footer">
    <w:name w:val="footer"/>
    <w:basedOn w:val="Normal"/>
    <w:link w:val="FooterChar"/>
    <w:uiPriority w:val="99"/>
    <w:unhideWhenUsed/>
    <w:rsid w:val="002E1276"/>
    <w:pPr>
      <w:tabs>
        <w:tab w:val="center" w:pos="4320"/>
        <w:tab w:val="right" w:pos="8640"/>
      </w:tabs>
    </w:pPr>
  </w:style>
  <w:style w:type="character" w:customStyle="1" w:styleId="FooterChar">
    <w:name w:val="Footer Char"/>
    <w:link w:val="Footer"/>
    <w:uiPriority w:val="99"/>
    <w:rsid w:val="002E1276"/>
    <w:rPr>
      <w:sz w:val="24"/>
      <w:szCs w:val="24"/>
    </w:rPr>
  </w:style>
  <w:style w:type="paragraph" w:customStyle="1" w:styleId="NoParagraphStyle">
    <w:name w:val="[No Paragraph Style]"/>
    <w:rsid w:val="009B39D8"/>
    <w:pPr>
      <w:widowControl w:val="0"/>
      <w:autoSpaceDE w:val="0"/>
      <w:autoSpaceDN w:val="0"/>
      <w:adjustRightInd w:val="0"/>
      <w:spacing w:line="288" w:lineRule="auto"/>
      <w:textAlignment w:val="center"/>
    </w:pPr>
    <w:rPr>
      <w:rFonts w:ascii="Times-Roman" w:hAnsi="Times-Roman" w:cs="Times-Roman"/>
      <w:color w:val="000000"/>
      <w:sz w:val="24"/>
      <w:szCs w:val="24"/>
      <w:lang w:val="en-GB" w:eastAsia="en-US"/>
    </w:rPr>
  </w:style>
  <w:style w:type="paragraph" w:styleId="NormalWeb">
    <w:name w:val="Normal (Web)"/>
    <w:basedOn w:val="Normal"/>
    <w:uiPriority w:val="99"/>
    <w:rsid w:val="008B4DCB"/>
    <w:pPr>
      <w:spacing w:before="100" w:beforeAutospacing="1" w:after="100" w:afterAutospacing="1"/>
    </w:pPr>
    <w:rPr>
      <w:rFonts w:ascii="Times New Roman" w:eastAsia="Times New Roman" w:hAnsi="Times New Roman"/>
      <w:lang w:eastAsia="en-AU"/>
    </w:rPr>
  </w:style>
  <w:style w:type="character" w:customStyle="1" w:styleId="Heading1Char">
    <w:name w:val="Heading 1 Char"/>
    <w:link w:val="Heading1"/>
    <w:uiPriority w:val="9"/>
    <w:locked/>
    <w:rsid w:val="001179FE"/>
    <w:rPr>
      <w:rFonts w:ascii="Calibri" w:eastAsia="Calibri" w:hAnsi="Calibri"/>
      <w:b/>
      <w:color w:val="008000"/>
      <w:sz w:val="32"/>
      <w:szCs w:val="28"/>
      <w:lang w:val="en-AU" w:eastAsia="en-US" w:bidi="ar-SA"/>
    </w:rPr>
  </w:style>
  <w:style w:type="character" w:customStyle="1" w:styleId="Heading2Char">
    <w:name w:val="Heading 2 Char"/>
    <w:link w:val="Heading2"/>
    <w:uiPriority w:val="9"/>
    <w:locked/>
    <w:rsid w:val="002D7FBE"/>
    <w:rPr>
      <w:rFonts w:eastAsia="Calibri"/>
      <w:b/>
      <w:sz w:val="24"/>
      <w:szCs w:val="24"/>
    </w:rPr>
  </w:style>
  <w:style w:type="character" w:customStyle="1" w:styleId="Heading3Char">
    <w:name w:val="Heading 3 Char"/>
    <w:link w:val="Heading3"/>
    <w:uiPriority w:val="9"/>
    <w:locked/>
    <w:rsid w:val="001179FE"/>
    <w:rPr>
      <w:rFonts w:eastAsia="Calibri"/>
      <w:bCs/>
      <w:i/>
      <w:sz w:val="24"/>
      <w:szCs w:val="26"/>
      <w:lang w:val="en-AU" w:eastAsia="en-US" w:bidi="ar-SA"/>
    </w:rPr>
  </w:style>
  <w:style w:type="character" w:customStyle="1" w:styleId="Heading4Char">
    <w:name w:val="Heading 4 Char"/>
    <w:link w:val="Heading4"/>
    <w:uiPriority w:val="9"/>
    <w:locked/>
    <w:rsid w:val="005A459D"/>
    <w:rPr>
      <w:rFonts w:ascii="Cambria" w:eastAsia="Calibri" w:hAnsi="Cambria"/>
      <w:b/>
      <w:bCs/>
      <w:sz w:val="22"/>
      <w:szCs w:val="22"/>
      <w:lang w:val="en-US"/>
    </w:rPr>
  </w:style>
  <w:style w:type="paragraph" w:styleId="BodyText">
    <w:name w:val="Body Text"/>
    <w:basedOn w:val="Normal"/>
    <w:link w:val="BodyTextChar"/>
    <w:autoRedefine/>
    <w:uiPriority w:val="99"/>
    <w:rsid w:val="001179FE"/>
    <w:pPr>
      <w:autoSpaceDE w:val="0"/>
      <w:autoSpaceDN w:val="0"/>
      <w:adjustRightInd w:val="0"/>
    </w:pPr>
    <w:rPr>
      <w:rFonts w:ascii="Times New Roman" w:hAnsi="Times New Roman"/>
    </w:rPr>
  </w:style>
  <w:style w:type="character" w:customStyle="1" w:styleId="BodyTextChar">
    <w:name w:val="Body Text Char"/>
    <w:link w:val="BodyText"/>
    <w:uiPriority w:val="99"/>
    <w:locked/>
    <w:rsid w:val="001179FE"/>
    <w:rPr>
      <w:rFonts w:eastAsia="Calibri"/>
      <w:sz w:val="24"/>
      <w:szCs w:val="22"/>
      <w:lang w:val="en-AU" w:eastAsia="en-US" w:bidi="ar-SA"/>
    </w:rPr>
  </w:style>
  <w:style w:type="paragraph" w:customStyle="1" w:styleId="Reference">
    <w:name w:val="Reference"/>
    <w:basedOn w:val="BodyTextFirstIndent"/>
    <w:autoRedefine/>
    <w:uiPriority w:val="99"/>
    <w:rsid w:val="002D7FBE"/>
    <w:pPr>
      <w:spacing w:after="0" w:line="276" w:lineRule="auto"/>
      <w:ind w:left="567" w:right="180" w:hanging="297"/>
      <w:jc w:val="both"/>
    </w:pPr>
    <w:rPr>
      <w:rFonts w:ascii="Times New Roman" w:eastAsia="Calibri" w:hAnsi="Times New Roman"/>
      <w:szCs w:val="28"/>
      <w:lang w:val="en-US"/>
    </w:rPr>
  </w:style>
  <w:style w:type="paragraph" w:styleId="BlockText">
    <w:name w:val="Block Text"/>
    <w:basedOn w:val="Normal"/>
    <w:autoRedefine/>
    <w:rsid w:val="00151303"/>
    <w:pPr>
      <w:shd w:val="clear" w:color="auto" w:fill="CCFFCC"/>
      <w:spacing w:before="120" w:after="120" w:line="240" w:lineRule="auto"/>
      <w:ind w:left="284"/>
    </w:pPr>
    <w:rPr>
      <w:rFonts w:ascii="Calibri" w:hAnsi="Calibri"/>
    </w:rPr>
  </w:style>
  <w:style w:type="paragraph" w:styleId="TOC2">
    <w:name w:val="toc 2"/>
    <w:basedOn w:val="Normal"/>
    <w:next w:val="Normal"/>
    <w:autoRedefine/>
    <w:uiPriority w:val="39"/>
    <w:rsid w:val="001179FE"/>
    <w:pPr>
      <w:spacing w:before="240"/>
    </w:pPr>
    <w:rPr>
      <w:b/>
      <w:sz w:val="20"/>
      <w:szCs w:val="20"/>
    </w:rPr>
  </w:style>
  <w:style w:type="paragraph" w:styleId="TOC1">
    <w:name w:val="toc 1"/>
    <w:basedOn w:val="Normal"/>
    <w:next w:val="Normal"/>
    <w:autoRedefine/>
    <w:uiPriority w:val="39"/>
    <w:rsid w:val="001179FE"/>
    <w:pPr>
      <w:tabs>
        <w:tab w:val="right" w:leader="dot" w:pos="8636"/>
      </w:tabs>
      <w:spacing w:before="360"/>
      <w:ind w:left="90"/>
    </w:pPr>
    <w:rPr>
      <w:rFonts w:ascii="Calibri" w:hAnsi="Calibri"/>
      <w:b/>
      <w:caps/>
    </w:rPr>
  </w:style>
  <w:style w:type="paragraph" w:styleId="MediumList2-Accent4">
    <w:name w:val="Medium List 2 Accent 4"/>
    <w:basedOn w:val="Normal"/>
    <w:uiPriority w:val="34"/>
    <w:qFormat/>
    <w:rsid w:val="001179FE"/>
    <w:pPr>
      <w:ind w:left="720"/>
    </w:pPr>
    <w:rPr>
      <w:rFonts w:ascii="Times New Roman" w:hAnsi="Times New Roman"/>
    </w:rPr>
  </w:style>
  <w:style w:type="character" w:styleId="Hyperlink">
    <w:name w:val="Hyperlink"/>
    <w:uiPriority w:val="99"/>
    <w:rsid w:val="001179FE"/>
    <w:rPr>
      <w:rFonts w:cs="Times New Roman"/>
      <w:color w:val="0000FF"/>
      <w:u w:val="single"/>
    </w:rPr>
  </w:style>
  <w:style w:type="character" w:styleId="Strong">
    <w:name w:val="Strong"/>
    <w:qFormat/>
    <w:rsid w:val="001179FE"/>
    <w:rPr>
      <w:rFonts w:cs="Times New Roman"/>
      <w:b/>
      <w:bCs/>
    </w:rPr>
  </w:style>
  <w:style w:type="paragraph" w:customStyle="1" w:styleId="NoSpacing">
    <w:name w:val="No Spacing"/>
    <w:basedOn w:val="Normal"/>
    <w:semiHidden/>
    <w:qFormat/>
    <w:rsid w:val="001179FE"/>
    <w:rPr>
      <w:rFonts w:ascii="Times New Roman" w:hAnsi="Times New Roman"/>
      <w:i/>
    </w:rPr>
  </w:style>
  <w:style w:type="paragraph" w:styleId="BodyTextFirstIndent">
    <w:name w:val="Body Text First Indent"/>
    <w:basedOn w:val="BodyText"/>
    <w:link w:val="BodyTextFirstIndentChar"/>
    <w:autoRedefine/>
    <w:uiPriority w:val="99"/>
    <w:rsid w:val="0036419C"/>
    <w:pPr>
      <w:autoSpaceDE/>
      <w:autoSpaceDN/>
      <w:adjustRightInd/>
      <w:spacing w:after="120" w:line="240" w:lineRule="auto"/>
      <w:ind w:left="284"/>
      <w:jc w:val="left"/>
    </w:pPr>
    <w:rPr>
      <w:rFonts w:ascii="Cambria" w:eastAsia="Cambria" w:hAnsi="Cambria"/>
      <w:sz w:val="22"/>
      <w:szCs w:val="24"/>
    </w:rPr>
  </w:style>
  <w:style w:type="character" w:styleId="PageNumber">
    <w:name w:val="page number"/>
    <w:basedOn w:val="DefaultParagraphFont"/>
    <w:rsid w:val="00E925DB"/>
  </w:style>
  <w:style w:type="character" w:customStyle="1" w:styleId="Heading5Char">
    <w:name w:val="Heading 5 Char"/>
    <w:link w:val="Heading5"/>
    <w:rsid w:val="00BB3C1E"/>
    <w:rPr>
      <w:rFonts w:ascii="Times New Roman" w:eastAsia="Calibri" w:hAnsi="Times New Roman"/>
      <w:b/>
      <w:bCs/>
      <w:i/>
      <w:iCs/>
      <w:sz w:val="26"/>
      <w:szCs w:val="26"/>
    </w:rPr>
  </w:style>
  <w:style w:type="character" w:customStyle="1" w:styleId="Heading8Char">
    <w:name w:val="Heading 8 Char"/>
    <w:link w:val="Heading8"/>
    <w:rsid w:val="00BB3C1E"/>
    <w:rPr>
      <w:rFonts w:ascii="Times New Roman" w:eastAsia="Calibri" w:hAnsi="Times New Roman"/>
      <w:i/>
      <w:iCs/>
      <w:sz w:val="24"/>
      <w:szCs w:val="24"/>
    </w:rPr>
  </w:style>
  <w:style w:type="character" w:customStyle="1" w:styleId="Heading9Char">
    <w:name w:val="Heading 9 Char"/>
    <w:link w:val="Heading9"/>
    <w:rsid w:val="00BB3C1E"/>
    <w:rPr>
      <w:rFonts w:ascii="Times New Roman" w:eastAsia="Calibri" w:hAnsi="Times New Roman" w:cs="Arial"/>
      <w:i/>
      <w:sz w:val="24"/>
      <w:szCs w:val="22"/>
    </w:rPr>
  </w:style>
  <w:style w:type="paragraph" w:customStyle="1" w:styleId="MediumGrid1-Accent21">
    <w:name w:val="Medium Grid 1 - Accent 21"/>
    <w:basedOn w:val="Normal"/>
    <w:uiPriority w:val="34"/>
    <w:qFormat/>
    <w:rsid w:val="00BB3C1E"/>
    <w:pPr>
      <w:ind w:left="720"/>
      <w:contextualSpacing/>
    </w:pPr>
  </w:style>
  <w:style w:type="paragraph" w:customStyle="1" w:styleId="Default">
    <w:name w:val="Default"/>
    <w:rsid w:val="00BB3C1E"/>
    <w:pPr>
      <w:autoSpaceDE w:val="0"/>
      <w:autoSpaceDN w:val="0"/>
      <w:adjustRightInd w:val="0"/>
    </w:pPr>
    <w:rPr>
      <w:rFonts w:ascii="Calibri" w:eastAsia="Calibri" w:hAnsi="Calibri" w:cs="Calibri"/>
      <w:color w:val="000000"/>
      <w:sz w:val="24"/>
      <w:szCs w:val="24"/>
    </w:rPr>
  </w:style>
  <w:style w:type="character" w:styleId="CommentReference">
    <w:name w:val="annotation reference"/>
    <w:uiPriority w:val="99"/>
    <w:unhideWhenUsed/>
    <w:rsid w:val="00BB3C1E"/>
    <w:rPr>
      <w:sz w:val="18"/>
      <w:szCs w:val="18"/>
    </w:rPr>
  </w:style>
  <w:style w:type="paragraph" w:styleId="CommentText">
    <w:name w:val="annotation text"/>
    <w:basedOn w:val="Normal"/>
    <w:link w:val="CommentTextChar"/>
    <w:uiPriority w:val="99"/>
    <w:unhideWhenUsed/>
    <w:rsid w:val="00BB3C1E"/>
    <w:rPr>
      <w:szCs w:val="24"/>
    </w:rPr>
  </w:style>
  <w:style w:type="character" w:customStyle="1" w:styleId="CommentTextChar">
    <w:name w:val="Comment Text Char"/>
    <w:link w:val="CommentText"/>
    <w:uiPriority w:val="99"/>
    <w:rsid w:val="00BB3C1E"/>
    <w:rPr>
      <w:rFonts w:ascii="Times New Roman" w:eastAsia="Calibri" w:hAnsi="Times New Roman"/>
      <w:sz w:val="24"/>
      <w:szCs w:val="24"/>
    </w:rPr>
  </w:style>
  <w:style w:type="paragraph" w:styleId="CommentSubject">
    <w:name w:val="annotation subject"/>
    <w:basedOn w:val="CommentText"/>
    <w:next w:val="CommentText"/>
    <w:link w:val="CommentSubjectChar"/>
    <w:uiPriority w:val="99"/>
    <w:unhideWhenUsed/>
    <w:rsid w:val="00BB3C1E"/>
    <w:rPr>
      <w:b/>
      <w:bCs/>
      <w:sz w:val="20"/>
      <w:szCs w:val="20"/>
    </w:rPr>
  </w:style>
  <w:style w:type="character" w:customStyle="1" w:styleId="CommentSubjectChar">
    <w:name w:val="Comment Subject Char"/>
    <w:link w:val="CommentSubject"/>
    <w:uiPriority w:val="99"/>
    <w:rsid w:val="00BB3C1E"/>
    <w:rPr>
      <w:rFonts w:ascii="Times New Roman" w:eastAsia="Calibri" w:hAnsi="Times New Roman"/>
      <w:b/>
      <w:bCs/>
      <w:sz w:val="24"/>
      <w:szCs w:val="24"/>
    </w:rPr>
  </w:style>
  <w:style w:type="paragraph" w:styleId="BalloonText">
    <w:name w:val="Balloon Text"/>
    <w:basedOn w:val="Normal"/>
    <w:link w:val="BalloonTextChar"/>
    <w:uiPriority w:val="99"/>
    <w:unhideWhenUsed/>
    <w:rsid w:val="00BB3C1E"/>
    <w:pPr>
      <w:spacing w:after="0" w:line="240" w:lineRule="auto"/>
    </w:pPr>
    <w:rPr>
      <w:rFonts w:ascii="Lucida Grande" w:hAnsi="Lucida Grande"/>
      <w:sz w:val="18"/>
      <w:szCs w:val="18"/>
    </w:rPr>
  </w:style>
  <w:style w:type="character" w:customStyle="1" w:styleId="BalloonTextChar">
    <w:name w:val="Balloon Text Char"/>
    <w:link w:val="BalloonText"/>
    <w:uiPriority w:val="99"/>
    <w:rsid w:val="00BB3C1E"/>
    <w:rPr>
      <w:rFonts w:ascii="Lucida Grande" w:eastAsia="Calibri" w:hAnsi="Lucida Grande"/>
      <w:sz w:val="18"/>
      <w:szCs w:val="18"/>
    </w:rPr>
  </w:style>
  <w:style w:type="paragraph" w:styleId="BodyTextIndent">
    <w:name w:val="Body Text Indent"/>
    <w:basedOn w:val="Normal"/>
    <w:link w:val="BodyTextIndentChar"/>
    <w:rsid w:val="00BB3C1E"/>
    <w:pPr>
      <w:spacing w:after="120"/>
      <w:ind w:left="283"/>
    </w:pPr>
  </w:style>
  <w:style w:type="character" w:customStyle="1" w:styleId="BodyTextIndentChar">
    <w:name w:val="Body Text Indent Char"/>
    <w:link w:val="BodyTextIndent"/>
    <w:rsid w:val="00BB3C1E"/>
    <w:rPr>
      <w:rFonts w:ascii="Times New Roman" w:eastAsia="Calibri" w:hAnsi="Times New Roman"/>
      <w:sz w:val="24"/>
      <w:szCs w:val="22"/>
    </w:rPr>
  </w:style>
  <w:style w:type="paragraph" w:styleId="BodyTextFirstIndent2">
    <w:name w:val="Body Text First Indent 2"/>
    <w:basedOn w:val="BodyTextIndent"/>
    <w:link w:val="BodyTextFirstIndent2Char"/>
    <w:rsid w:val="00BB3C1E"/>
    <w:pPr>
      <w:ind w:firstLine="210"/>
    </w:pPr>
  </w:style>
  <w:style w:type="character" w:customStyle="1" w:styleId="BodyTextFirstIndent2Char">
    <w:name w:val="Body Text First Indent 2 Char"/>
    <w:basedOn w:val="BodyTextIndentChar"/>
    <w:link w:val="BodyTextFirstIndent2"/>
    <w:rsid w:val="00BB3C1E"/>
    <w:rPr>
      <w:rFonts w:ascii="Times New Roman" w:eastAsia="Calibri" w:hAnsi="Times New Roman"/>
      <w:sz w:val="24"/>
      <w:szCs w:val="22"/>
    </w:rPr>
  </w:style>
  <w:style w:type="paragraph" w:customStyle="1" w:styleId="Bibliography">
    <w:name w:val="Bibliography"/>
    <w:basedOn w:val="Normal"/>
    <w:next w:val="Normal"/>
    <w:uiPriority w:val="37"/>
    <w:rsid w:val="00BB3C1E"/>
  </w:style>
  <w:style w:type="table" w:styleId="TableGrid">
    <w:name w:val="Table Grid"/>
    <w:basedOn w:val="TableNormal"/>
    <w:uiPriority w:val="59"/>
    <w:rsid w:val="00BB3C1E"/>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BB3C1E"/>
    <w:rPr>
      <w:i/>
      <w:iCs/>
    </w:rPr>
  </w:style>
  <w:style w:type="character" w:customStyle="1" w:styleId="bodytext1">
    <w:name w:val="body_text1"/>
    <w:rsid w:val="00BB3C1E"/>
    <w:rPr>
      <w:rFonts w:ascii="Verdana" w:hAnsi="Verdana" w:hint="default"/>
      <w:color w:val="333333"/>
      <w:sz w:val="11"/>
      <w:szCs w:val="11"/>
    </w:rPr>
  </w:style>
  <w:style w:type="paragraph" w:styleId="DocumentMap">
    <w:name w:val="Document Map"/>
    <w:basedOn w:val="Normal"/>
    <w:link w:val="DocumentMapChar"/>
    <w:rsid w:val="00BB3C1E"/>
    <w:pPr>
      <w:shd w:val="clear" w:color="auto" w:fill="000080"/>
    </w:pPr>
    <w:rPr>
      <w:rFonts w:ascii="Tahoma" w:hAnsi="Tahoma" w:cs="Tahoma"/>
      <w:sz w:val="20"/>
      <w:szCs w:val="20"/>
    </w:rPr>
  </w:style>
  <w:style w:type="character" w:customStyle="1" w:styleId="DocumentMapChar">
    <w:name w:val="Document Map Char"/>
    <w:link w:val="DocumentMap"/>
    <w:rsid w:val="00BB3C1E"/>
    <w:rPr>
      <w:rFonts w:ascii="Tahoma" w:eastAsia="Calibri" w:hAnsi="Tahoma" w:cs="Tahoma"/>
      <w:shd w:val="clear" w:color="auto" w:fill="000080"/>
    </w:rPr>
  </w:style>
  <w:style w:type="character" w:styleId="FollowedHyperlink">
    <w:name w:val="FollowedHyperlink"/>
    <w:rsid w:val="00BB3C1E"/>
    <w:rPr>
      <w:color w:val="606420"/>
      <w:u w:val="single"/>
    </w:rPr>
  </w:style>
  <w:style w:type="paragraph" w:styleId="TOC3">
    <w:name w:val="toc 3"/>
    <w:basedOn w:val="Normal"/>
    <w:next w:val="Normal"/>
    <w:autoRedefine/>
    <w:uiPriority w:val="39"/>
    <w:rsid w:val="00BB3C1E"/>
    <w:pPr>
      <w:spacing w:after="0"/>
      <w:ind w:left="240"/>
      <w:jc w:val="left"/>
    </w:pPr>
    <w:rPr>
      <w:sz w:val="20"/>
      <w:szCs w:val="20"/>
    </w:rPr>
  </w:style>
  <w:style w:type="paragraph" w:styleId="TOC8">
    <w:name w:val="toc 8"/>
    <w:basedOn w:val="Normal"/>
    <w:next w:val="Normal"/>
    <w:autoRedefine/>
    <w:uiPriority w:val="39"/>
    <w:rsid w:val="00BB3C1E"/>
    <w:pPr>
      <w:spacing w:after="0"/>
      <w:ind w:left="1440"/>
      <w:jc w:val="left"/>
    </w:pPr>
    <w:rPr>
      <w:sz w:val="20"/>
      <w:szCs w:val="20"/>
    </w:rPr>
  </w:style>
  <w:style w:type="paragraph" w:styleId="FootnoteText">
    <w:name w:val="footnote text"/>
    <w:basedOn w:val="Normal"/>
    <w:link w:val="FootnoteTextChar"/>
    <w:rsid w:val="00BB3C1E"/>
    <w:rPr>
      <w:szCs w:val="24"/>
    </w:rPr>
  </w:style>
  <w:style w:type="character" w:customStyle="1" w:styleId="FootnoteTextChar">
    <w:name w:val="Footnote Text Char"/>
    <w:link w:val="FootnoteText"/>
    <w:rsid w:val="00BB3C1E"/>
    <w:rPr>
      <w:rFonts w:ascii="Times New Roman" w:eastAsia="Calibri" w:hAnsi="Times New Roman"/>
      <w:sz w:val="24"/>
      <w:szCs w:val="24"/>
    </w:rPr>
  </w:style>
  <w:style w:type="character" w:styleId="FootnoteReference">
    <w:name w:val="footnote reference"/>
    <w:rsid w:val="00BB3C1E"/>
    <w:rPr>
      <w:vertAlign w:val="superscript"/>
    </w:rPr>
  </w:style>
  <w:style w:type="paragraph" w:styleId="Index1">
    <w:name w:val="index 1"/>
    <w:basedOn w:val="Normal"/>
    <w:next w:val="Normal"/>
    <w:autoRedefine/>
    <w:rsid w:val="00BB3C1E"/>
    <w:pPr>
      <w:ind w:left="240" w:hanging="240"/>
    </w:pPr>
  </w:style>
  <w:style w:type="paragraph" w:styleId="TOC4">
    <w:name w:val="toc 4"/>
    <w:basedOn w:val="Normal"/>
    <w:next w:val="Normal"/>
    <w:autoRedefine/>
    <w:rsid w:val="00BB3C1E"/>
    <w:pPr>
      <w:spacing w:after="0"/>
      <w:ind w:left="480"/>
      <w:jc w:val="left"/>
    </w:pPr>
    <w:rPr>
      <w:sz w:val="20"/>
      <w:szCs w:val="20"/>
    </w:rPr>
  </w:style>
  <w:style w:type="paragraph" w:styleId="TOC5">
    <w:name w:val="toc 5"/>
    <w:basedOn w:val="Normal"/>
    <w:next w:val="Normal"/>
    <w:autoRedefine/>
    <w:rsid w:val="00BB3C1E"/>
    <w:pPr>
      <w:spacing w:after="0"/>
      <w:ind w:left="720"/>
      <w:jc w:val="left"/>
    </w:pPr>
    <w:rPr>
      <w:sz w:val="20"/>
      <w:szCs w:val="20"/>
    </w:rPr>
  </w:style>
  <w:style w:type="paragraph" w:styleId="TOC6">
    <w:name w:val="toc 6"/>
    <w:basedOn w:val="Normal"/>
    <w:next w:val="Normal"/>
    <w:autoRedefine/>
    <w:rsid w:val="00BB3C1E"/>
    <w:pPr>
      <w:spacing w:after="0"/>
      <w:ind w:left="960"/>
      <w:jc w:val="left"/>
    </w:pPr>
    <w:rPr>
      <w:sz w:val="20"/>
      <w:szCs w:val="20"/>
    </w:rPr>
  </w:style>
  <w:style w:type="paragraph" w:styleId="TOC7">
    <w:name w:val="toc 7"/>
    <w:basedOn w:val="Normal"/>
    <w:next w:val="Normal"/>
    <w:autoRedefine/>
    <w:rsid w:val="00BB3C1E"/>
    <w:pPr>
      <w:spacing w:after="0"/>
      <w:ind w:left="1200"/>
      <w:jc w:val="left"/>
    </w:pPr>
    <w:rPr>
      <w:sz w:val="20"/>
      <w:szCs w:val="20"/>
    </w:rPr>
  </w:style>
  <w:style w:type="paragraph" w:styleId="TOC9">
    <w:name w:val="toc 9"/>
    <w:basedOn w:val="Normal"/>
    <w:next w:val="Normal"/>
    <w:autoRedefine/>
    <w:rsid w:val="00BB3C1E"/>
    <w:pPr>
      <w:spacing w:after="0"/>
      <w:ind w:left="1680"/>
      <w:jc w:val="left"/>
    </w:pPr>
    <w:rPr>
      <w:sz w:val="20"/>
      <w:szCs w:val="20"/>
    </w:rPr>
  </w:style>
  <w:style w:type="paragraph" w:styleId="ListBullet">
    <w:name w:val="List Bullet"/>
    <w:basedOn w:val="Normal"/>
    <w:autoRedefine/>
    <w:rsid w:val="00BB3C1E"/>
    <w:pPr>
      <w:numPr>
        <w:numId w:val="5"/>
      </w:numPr>
      <w:spacing w:after="120"/>
      <w:ind w:left="357" w:hanging="357"/>
    </w:pPr>
    <w:rPr>
      <w:color w:val="999999"/>
    </w:rPr>
  </w:style>
  <w:style w:type="character" w:customStyle="1" w:styleId="BodyTextFirstIndentChar">
    <w:name w:val="Body Text First Indent Char"/>
    <w:link w:val="BodyTextFirstIndent"/>
    <w:uiPriority w:val="99"/>
    <w:rsid w:val="0036419C"/>
    <w:rPr>
      <w:rFonts w:eastAsia="Calibri"/>
      <w:sz w:val="22"/>
      <w:szCs w:val="24"/>
      <w:lang w:val="en-AU" w:eastAsia="en-US" w:bidi="ar-SA"/>
    </w:rPr>
  </w:style>
  <w:style w:type="paragraph" w:customStyle="1" w:styleId="References">
    <w:name w:val="References"/>
    <w:basedOn w:val="Normal"/>
    <w:autoRedefine/>
    <w:qFormat/>
    <w:rsid w:val="00604CC9"/>
    <w:pPr>
      <w:spacing w:after="0"/>
      <w:ind w:left="720" w:hanging="720"/>
    </w:pPr>
    <w:rPr>
      <w:rFonts w:ascii="Times New Roman" w:hAnsi="Times New Roman"/>
      <w:sz w:val="22"/>
    </w:rPr>
  </w:style>
  <w:style w:type="paragraph" w:styleId="BodyText3">
    <w:name w:val="Body Text 3"/>
    <w:basedOn w:val="Normal"/>
    <w:link w:val="BodyText3Char"/>
    <w:autoRedefine/>
    <w:rsid w:val="0054783A"/>
    <w:pPr>
      <w:spacing w:after="0"/>
    </w:pPr>
    <w:rPr>
      <w:rFonts w:ascii="Calibri" w:hAnsi="Calibri"/>
      <w:szCs w:val="20"/>
    </w:rPr>
  </w:style>
  <w:style w:type="character" w:customStyle="1" w:styleId="BodyText3Char">
    <w:name w:val="Body Text 3 Char"/>
    <w:link w:val="BodyText3"/>
    <w:rsid w:val="0054783A"/>
    <w:rPr>
      <w:rFonts w:ascii="Calibri" w:eastAsia="Calibri" w:hAnsi="Calibri"/>
      <w:sz w:val="24"/>
    </w:rPr>
  </w:style>
  <w:style w:type="paragraph" w:customStyle="1" w:styleId="Suggestionbox">
    <w:name w:val="Suggestion box"/>
    <w:basedOn w:val="Normal"/>
    <w:autoRedefine/>
    <w:rsid w:val="0054783A"/>
    <w:pPr>
      <w:pBdr>
        <w:top w:val="single" w:sz="4" w:space="1" w:color="auto"/>
        <w:left w:val="single" w:sz="4" w:space="4" w:color="auto"/>
        <w:bottom w:val="single" w:sz="4" w:space="1" w:color="auto"/>
        <w:right w:val="single" w:sz="4" w:space="4" w:color="auto"/>
      </w:pBdr>
      <w:spacing w:after="0"/>
    </w:pPr>
    <w:rPr>
      <w:rFonts w:ascii="Calibri" w:hAnsi="Calibri"/>
    </w:rPr>
  </w:style>
  <w:style w:type="paragraph" w:customStyle="1" w:styleId="Transcript">
    <w:name w:val="Transcript"/>
    <w:basedOn w:val="Normal"/>
    <w:autoRedefine/>
    <w:qFormat/>
    <w:rsid w:val="0054783A"/>
    <w:pPr>
      <w:spacing w:after="0" w:line="360" w:lineRule="auto"/>
    </w:pPr>
    <w:rPr>
      <w:rFonts w:ascii="Courier New" w:hAnsi="Courier New"/>
      <w:sz w:val="20"/>
      <w:lang w:val="en-US"/>
    </w:rPr>
  </w:style>
  <w:style w:type="character" w:styleId="HTMLCite">
    <w:name w:val="HTML Cite"/>
    <w:uiPriority w:val="99"/>
    <w:unhideWhenUsed/>
    <w:rsid w:val="0036419C"/>
    <w:rPr>
      <w:i/>
      <w:iCs/>
    </w:rPr>
  </w:style>
  <w:style w:type="paragraph" w:styleId="LightGrid-Accent3">
    <w:name w:val="Light Grid Accent 3"/>
    <w:basedOn w:val="Normal"/>
    <w:uiPriority w:val="34"/>
    <w:qFormat/>
    <w:rsid w:val="003641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33052">
      <w:bodyDiv w:val="1"/>
      <w:marLeft w:val="0"/>
      <w:marRight w:val="0"/>
      <w:marTop w:val="0"/>
      <w:marBottom w:val="0"/>
      <w:divBdr>
        <w:top w:val="none" w:sz="0" w:space="0" w:color="auto"/>
        <w:left w:val="none" w:sz="0" w:space="0" w:color="auto"/>
        <w:bottom w:val="none" w:sz="0" w:space="0" w:color="auto"/>
        <w:right w:val="none" w:sz="0" w:space="0" w:color="auto"/>
      </w:divBdr>
    </w:div>
    <w:div w:id="371879315">
      <w:bodyDiv w:val="1"/>
      <w:marLeft w:val="0"/>
      <w:marRight w:val="0"/>
      <w:marTop w:val="0"/>
      <w:marBottom w:val="0"/>
      <w:divBdr>
        <w:top w:val="none" w:sz="0" w:space="0" w:color="auto"/>
        <w:left w:val="none" w:sz="0" w:space="0" w:color="auto"/>
        <w:bottom w:val="none" w:sz="0" w:space="0" w:color="auto"/>
        <w:right w:val="none" w:sz="0" w:space="0" w:color="auto"/>
      </w:divBdr>
    </w:div>
    <w:div w:id="382800404">
      <w:bodyDiv w:val="1"/>
      <w:marLeft w:val="0"/>
      <w:marRight w:val="0"/>
      <w:marTop w:val="0"/>
      <w:marBottom w:val="0"/>
      <w:divBdr>
        <w:top w:val="none" w:sz="0" w:space="0" w:color="auto"/>
        <w:left w:val="none" w:sz="0" w:space="0" w:color="auto"/>
        <w:bottom w:val="none" w:sz="0" w:space="0" w:color="auto"/>
        <w:right w:val="none" w:sz="0" w:space="0" w:color="auto"/>
      </w:divBdr>
      <w:divsChild>
        <w:div w:id="55471786">
          <w:marLeft w:val="0"/>
          <w:marRight w:val="0"/>
          <w:marTop w:val="0"/>
          <w:marBottom w:val="0"/>
          <w:divBdr>
            <w:top w:val="none" w:sz="0" w:space="0" w:color="auto"/>
            <w:left w:val="none" w:sz="0" w:space="0" w:color="auto"/>
            <w:bottom w:val="none" w:sz="0" w:space="0" w:color="auto"/>
            <w:right w:val="none" w:sz="0" w:space="0" w:color="auto"/>
          </w:divBdr>
        </w:div>
      </w:divsChild>
    </w:div>
    <w:div w:id="802891649">
      <w:bodyDiv w:val="1"/>
      <w:marLeft w:val="0"/>
      <w:marRight w:val="0"/>
      <w:marTop w:val="0"/>
      <w:marBottom w:val="0"/>
      <w:divBdr>
        <w:top w:val="none" w:sz="0" w:space="0" w:color="auto"/>
        <w:left w:val="none" w:sz="0" w:space="0" w:color="auto"/>
        <w:bottom w:val="none" w:sz="0" w:space="0" w:color="auto"/>
        <w:right w:val="none" w:sz="0" w:space="0" w:color="auto"/>
      </w:divBdr>
    </w:div>
    <w:div w:id="921333866">
      <w:bodyDiv w:val="1"/>
      <w:marLeft w:val="0"/>
      <w:marRight w:val="0"/>
      <w:marTop w:val="0"/>
      <w:marBottom w:val="0"/>
      <w:divBdr>
        <w:top w:val="none" w:sz="0" w:space="0" w:color="auto"/>
        <w:left w:val="none" w:sz="0" w:space="0" w:color="auto"/>
        <w:bottom w:val="none" w:sz="0" w:space="0" w:color="auto"/>
        <w:right w:val="none" w:sz="0" w:space="0" w:color="auto"/>
      </w:divBdr>
      <w:divsChild>
        <w:div w:id="537746587">
          <w:marLeft w:val="0"/>
          <w:marRight w:val="0"/>
          <w:marTop w:val="0"/>
          <w:marBottom w:val="0"/>
          <w:divBdr>
            <w:top w:val="none" w:sz="0" w:space="0" w:color="auto"/>
            <w:left w:val="none" w:sz="0" w:space="0" w:color="auto"/>
            <w:bottom w:val="none" w:sz="0" w:space="0" w:color="auto"/>
            <w:right w:val="none" w:sz="0" w:space="0" w:color="auto"/>
          </w:divBdr>
        </w:div>
      </w:divsChild>
    </w:div>
    <w:div w:id="1061710170">
      <w:bodyDiv w:val="1"/>
      <w:marLeft w:val="0"/>
      <w:marRight w:val="0"/>
      <w:marTop w:val="0"/>
      <w:marBottom w:val="0"/>
      <w:divBdr>
        <w:top w:val="none" w:sz="0" w:space="0" w:color="auto"/>
        <w:left w:val="none" w:sz="0" w:space="0" w:color="auto"/>
        <w:bottom w:val="none" w:sz="0" w:space="0" w:color="auto"/>
        <w:right w:val="none" w:sz="0" w:space="0" w:color="auto"/>
      </w:divBdr>
      <w:divsChild>
        <w:div w:id="694497705">
          <w:marLeft w:val="0"/>
          <w:marRight w:val="0"/>
          <w:marTop w:val="0"/>
          <w:marBottom w:val="0"/>
          <w:divBdr>
            <w:top w:val="none" w:sz="0" w:space="0" w:color="auto"/>
            <w:left w:val="none" w:sz="0" w:space="0" w:color="auto"/>
            <w:bottom w:val="none" w:sz="0" w:space="0" w:color="auto"/>
            <w:right w:val="none" w:sz="0" w:space="0" w:color="auto"/>
          </w:divBdr>
        </w:div>
      </w:divsChild>
    </w:div>
    <w:div w:id="1430202633">
      <w:bodyDiv w:val="1"/>
      <w:marLeft w:val="0"/>
      <w:marRight w:val="0"/>
      <w:marTop w:val="0"/>
      <w:marBottom w:val="0"/>
      <w:divBdr>
        <w:top w:val="none" w:sz="0" w:space="0" w:color="auto"/>
        <w:left w:val="none" w:sz="0" w:space="0" w:color="auto"/>
        <w:bottom w:val="none" w:sz="0" w:space="0" w:color="auto"/>
        <w:right w:val="none" w:sz="0" w:space="0" w:color="auto"/>
      </w:divBdr>
      <w:divsChild>
        <w:div w:id="1487554077">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6" ma:contentTypeDescription="WebCM Documents Content Type" ma:contentTypeScope="" ma:versionID="2ade0ede8ebb07946e48377139d2ba55">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a084d64ed236ce4451b3192fa409ae45"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f1e22bdf-3d18-4ee3-a232-8974cf02f396</TermId>
        </TermInfo>
      </Terms>
    </a319977fc8504e09982f090ae1d7c602>
    <TaxCatchAll xmlns="cb9114c1-daad-44dd-acad-30f4246641f2">
      <Value>94</Value>
      <Value>107</Value>
      <Value>105</Value>
    </TaxCatchAll>
    <DEECD_Expired xmlns="http://schemas.microsoft.com/sharepoint/v3">false</DEECD_Expired>
    <DEECD_Keywords xmlns="http://schemas.microsoft.com/sharepoint/v3">evidence paper, VEYLDF, Victorian Early Years Learning and Development Framework, early learning, practice principle, equity, diversity</DEECD_Keywords>
    <PublishingExpirationDate xmlns="http://schemas.microsoft.com/sharepoint/v3" xsi:nil="true"/>
    <DEECD_Description xmlns="http://schemas.microsoft.com/sharepoint/v3">Evidence Paper on the VEYLDF Practice Principle on equity and diversity</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Early Childhood Professionals</TermName>
          <TermId xmlns="http://schemas.microsoft.com/office/infopath/2007/PartnerControls">8bc25fdb-3bda-407a-92d0-4b783a97986f</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4302099B-BD5D-4741-ADDC-EDDD89876A6B}"/>
</file>

<file path=customXml/itemProps2.xml><?xml version="1.0" encoding="utf-8"?>
<ds:datastoreItem xmlns:ds="http://schemas.openxmlformats.org/officeDocument/2006/customXml" ds:itemID="{8AB69CAA-C89B-4A61-A25E-13A7B0353831}"/>
</file>

<file path=customXml/itemProps3.xml><?xml version="1.0" encoding="utf-8"?>
<ds:datastoreItem xmlns:ds="http://schemas.openxmlformats.org/officeDocument/2006/customXml" ds:itemID="{FA45F784-2224-4987-8140-73C88606DB2D}"/>
</file>

<file path=customXml/itemProps4.xml><?xml version="1.0" encoding="utf-8"?>
<ds:datastoreItem xmlns:ds="http://schemas.openxmlformats.org/officeDocument/2006/customXml" ds:itemID="{FFCD3CDE-6707-4779-BCE9-C0AB7381B55E}"/>
</file>

<file path=docProps/app.xml><?xml version="1.0" encoding="utf-8"?>
<Properties xmlns="http://schemas.openxmlformats.org/officeDocument/2006/extended-properties" xmlns:vt="http://schemas.openxmlformats.org/officeDocument/2006/docPropsVTypes">
  <Template>Normal</Template>
  <TotalTime>0</TotalTime>
  <Pages>14</Pages>
  <Words>10048</Words>
  <Characters>57280</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Studio 131</Company>
  <LinksUpToDate>false</LinksUpToDate>
  <CharactersWithSpaces>67194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Evidence Paper - Practice Principle 4: Equity and diversity</dc:title>
  <dc:subject/>
  <dc:creator>Michael Wright</dc:creator>
  <cp:keywords/>
  <cp:lastModifiedBy>Slape, Kirsten A</cp:lastModifiedBy>
  <cp:revision>2</cp:revision>
  <cp:lastPrinted>2011-10-07T05:50:00Z</cp:lastPrinted>
  <dcterms:created xsi:type="dcterms:W3CDTF">2014-10-22T05:25:00Z</dcterms:created>
  <dcterms:modified xsi:type="dcterms:W3CDTF">2014-10-22T05:25:00Z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107;#Report|f1e22bdf-3d18-4ee3-a232-8974cf02f396</vt:lpwstr>
  </property>
  <property fmtid="{D5CDD505-2E9C-101B-9397-08002B2CF9AE}" pid="5" name="DEECD_SubjectCategory">
    <vt:lpwstr/>
  </property>
  <property fmtid="{D5CDD505-2E9C-101B-9397-08002B2CF9AE}" pid="6" name="DEECD_Audience">
    <vt:lpwstr>105;#Early Childhood Professionals|8bc25fdb-3bda-407a-92d0-4b783a97986f</vt:lpwstr>
  </property>
</Properties>
</file>